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400"/>
        <w:gridCol w:w="2960"/>
      </w:tblGrid>
      <w:tr w:rsidR="00AE14E9" w14:paraId="49CA9174" w14:textId="77777777">
        <w:tc>
          <w:tcPr>
            <w:tcW w:w="6400" w:type="dxa"/>
            <w:tcBorders>
              <w:top w:val="none" w:sz="0" w:space="0" w:color="FFFFFF"/>
              <w:left w:val="none" w:sz="0" w:space="0" w:color="FFFFFF"/>
              <w:bottom w:val="none" w:sz="0" w:space="0" w:color="FFFFFF"/>
              <w:right w:val="none" w:sz="0" w:space="0" w:color="FFFFFF"/>
            </w:tcBorders>
            <w:shd w:val="clear" w:color="auto" w:fill="003399"/>
            <w:tcMar>
              <w:top w:w="220" w:type="dxa"/>
              <w:left w:w="220" w:type="dxa"/>
              <w:bottom w:w="220" w:type="dxa"/>
              <w:right w:w="120" w:type="dxa"/>
            </w:tcMar>
          </w:tcPr>
          <w:p w14:paraId="05D52837" w14:textId="77777777" w:rsidR="00AE14E9" w:rsidRDefault="00BA1471">
            <w:r>
              <w:rPr>
                <w:rFonts w:ascii="Arial" w:eastAsia="Arial" w:hAnsi="Arial" w:cs="Arial"/>
                <w:b/>
                <w:bCs/>
                <w:color w:val="FFFFFF"/>
                <w:sz w:val="60"/>
                <w:szCs w:val="60"/>
              </w:rPr>
              <w:t>Tudor Raluca</w:t>
            </w:r>
          </w:p>
          <w:p w14:paraId="55D7CC88" w14:textId="7D6F1D81" w:rsidR="00AE14E9" w:rsidRDefault="00AE14E9">
            <w:pPr>
              <w:spacing w:before="30"/>
            </w:pPr>
          </w:p>
        </w:tc>
        <w:tc>
          <w:tcPr>
            <w:tcW w:w="2960" w:type="dxa"/>
            <w:tcBorders>
              <w:top w:val="none" w:sz="0" w:space="0" w:color="FFFFFF"/>
              <w:left w:val="none" w:sz="0" w:space="0" w:color="FFFFFF"/>
              <w:bottom w:val="none" w:sz="0" w:space="0" w:color="FFFFFF"/>
              <w:right w:val="none" w:sz="0" w:space="0" w:color="FFFFFF"/>
            </w:tcBorders>
            <w:shd w:val="clear" w:color="auto" w:fill="003399"/>
            <w:tcMar>
              <w:top w:w="220" w:type="dxa"/>
              <w:left w:w="80" w:type="dxa"/>
              <w:bottom w:w="220" w:type="dxa"/>
              <w:right w:w="160" w:type="dxa"/>
            </w:tcMar>
            <w:vAlign w:val="center"/>
          </w:tcPr>
          <w:p w14:paraId="52CE658E" w14:textId="77777777" w:rsidR="00AE14E9" w:rsidRDefault="00BA1471">
            <w:pPr>
              <w:jc w:val="right"/>
            </w:pPr>
            <w:r>
              <w:rPr>
                <w:rFonts w:ascii="Arial" w:eastAsia="Arial" w:hAnsi="Arial" w:cs="Arial"/>
                <w:b/>
                <w:bCs/>
                <w:color w:val="A8D8D8"/>
                <w:sz w:val="24"/>
                <w:szCs w:val="24"/>
              </w:rPr>
              <w:t>CURRICULUM VITAE</w:t>
            </w:r>
          </w:p>
          <w:p w14:paraId="531AE4DB" w14:textId="77777777" w:rsidR="00AE14E9" w:rsidRDefault="00BA1471">
            <w:pPr>
              <w:spacing w:before="30"/>
              <w:jc w:val="right"/>
            </w:pPr>
            <w:r>
              <w:rPr>
                <w:rFonts w:ascii="Arial" w:eastAsia="Arial" w:hAnsi="Arial" w:cs="Arial"/>
                <w:i/>
                <w:iCs/>
                <w:color w:val="FFFFFF"/>
              </w:rPr>
              <w:t>Europass</w:t>
            </w:r>
          </w:p>
        </w:tc>
      </w:tr>
    </w:tbl>
    <w:p w14:paraId="7B3AFE8E" w14:textId="77777777" w:rsidR="00AE14E9" w:rsidRDefault="00AE14E9">
      <w:pPr>
        <w:spacing w:before="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E14E9" w14:paraId="4518DAA4" w14:textId="77777777">
        <w:tc>
          <w:tcPr>
            <w:tcW w:w="9360" w:type="dxa"/>
            <w:tcBorders>
              <w:top w:val="none" w:sz="0" w:space="0" w:color="FFFFFF"/>
              <w:left w:val="none" w:sz="0" w:space="0" w:color="FFFFFF"/>
              <w:bottom w:val="none" w:sz="0" w:space="0" w:color="FFFFFF"/>
              <w:right w:val="none" w:sz="0" w:space="0" w:color="FFFFFF"/>
            </w:tcBorders>
            <w:shd w:val="clear" w:color="auto" w:fill="EBF1F8"/>
            <w:tcMar>
              <w:top w:w="80" w:type="dxa"/>
              <w:left w:w="140" w:type="dxa"/>
              <w:bottom w:w="80" w:type="dxa"/>
              <w:right w:w="140" w:type="dxa"/>
            </w:tcMar>
          </w:tcPr>
          <w:p w14:paraId="5E92E99B" w14:textId="2ACBEC14" w:rsidR="00AE14E9" w:rsidRDefault="00AE14E9">
            <w:pPr>
              <w:jc w:val="center"/>
            </w:pPr>
            <w:bookmarkStart w:id="0" w:name="_GoBack"/>
            <w:bookmarkEnd w:id="0"/>
          </w:p>
        </w:tc>
      </w:tr>
    </w:tbl>
    <w:p w14:paraId="65889EAA" w14:textId="77777777" w:rsidR="00AE14E9" w:rsidRDefault="00AE14E9">
      <w:pPr>
        <w:spacing w:before="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E14E9" w14:paraId="24E093FB" w14:textId="77777777">
        <w:tc>
          <w:tcPr>
            <w:tcW w:w="9360" w:type="dxa"/>
            <w:tcBorders>
              <w:top w:val="none" w:sz="0" w:space="0" w:color="FFFFFF"/>
              <w:left w:val="none" w:sz="0" w:space="0" w:color="FFFFFF"/>
              <w:bottom w:val="none" w:sz="0" w:space="0" w:color="FFFFFF"/>
              <w:right w:val="none" w:sz="0" w:space="0" w:color="FFFFFF"/>
            </w:tcBorders>
            <w:shd w:val="clear" w:color="auto" w:fill="003399"/>
            <w:tcMar>
              <w:top w:w="70" w:type="dxa"/>
              <w:left w:w="140" w:type="dxa"/>
              <w:bottom w:w="70" w:type="dxa"/>
              <w:right w:w="140" w:type="dxa"/>
            </w:tcMar>
          </w:tcPr>
          <w:p w14:paraId="453BDED6" w14:textId="77777777" w:rsidR="00AE14E9" w:rsidRDefault="00BA1471">
            <w:r>
              <w:rPr>
                <w:rFonts w:ascii="Arial" w:eastAsia="Arial" w:hAnsi="Arial" w:cs="Arial"/>
                <w:b/>
                <w:bCs/>
                <w:color w:val="FFFFFF"/>
                <w:sz w:val="22"/>
                <w:szCs w:val="22"/>
              </w:rPr>
              <w:t>EXPERIENȚĂ PROFESIONALĂ</w:t>
            </w:r>
          </w:p>
        </w:tc>
      </w:tr>
    </w:tbl>
    <w:p w14:paraId="5699CEA9" w14:textId="77777777" w:rsidR="00AE14E9" w:rsidRDefault="00AE14E9">
      <w:pPr>
        <w:spacing w:before="80"/>
      </w:pPr>
    </w:p>
    <w:p w14:paraId="659A185D" w14:textId="77777777" w:rsidR="00AE14E9" w:rsidRDefault="00BA1471">
      <w:r>
        <w:rPr>
          <w:rFonts w:ascii="Arial" w:eastAsia="Arial" w:hAnsi="Arial" w:cs="Arial"/>
          <w:b/>
          <w:bCs/>
          <w:color w:val="003399"/>
          <w:sz w:val="21"/>
          <w:szCs w:val="21"/>
        </w:rPr>
        <w:t>Experiență Academică</w:t>
      </w:r>
    </w:p>
    <w:p w14:paraId="63A581FF" w14:textId="77777777" w:rsidR="00AE14E9" w:rsidRDefault="00AE14E9">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AE14E9" w14:paraId="7D0B54BC"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F790826" w14:textId="77777777" w:rsidR="00AE14E9" w:rsidRDefault="00BA1471">
            <w:r>
              <w:rPr>
                <w:rFonts w:ascii="Arial" w:eastAsia="Arial" w:hAnsi="Arial" w:cs="Arial"/>
                <w:i/>
                <w:iCs/>
                <w:color w:val="666666"/>
                <w:sz w:val="19"/>
                <w:szCs w:val="19"/>
              </w:rPr>
              <w:t>feb 2025 – prezent</w:t>
            </w:r>
          </w:p>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13A84F4" w14:textId="77777777" w:rsidR="00AE14E9" w:rsidRDefault="00BA1471">
            <w:r>
              <w:rPr>
                <w:rFonts w:ascii="Arial" w:eastAsia="Arial" w:hAnsi="Arial" w:cs="Arial"/>
                <w:b/>
                <w:bCs/>
                <w:sz w:val="21"/>
                <w:szCs w:val="21"/>
              </w:rPr>
              <w:t>Conferențiar Universitar Abilitat</w:t>
            </w:r>
          </w:p>
        </w:tc>
      </w:tr>
      <w:tr w:rsidR="00AE14E9" w14:paraId="1FD671A5"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6BEB72B"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D85C4A9" w14:textId="77777777" w:rsidR="00AE14E9" w:rsidRDefault="00BA1471">
            <w:r>
              <w:rPr>
                <w:rFonts w:ascii="Arial" w:eastAsia="Arial" w:hAnsi="Arial" w:cs="Arial"/>
                <w:color w:val="4472C4"/>
                <w:sz w:val="19"/>
                <w:szCs w:val="19"/>
              </w:rPr>
              <w:t>Universitatea de Medicină și Farmacie Victor Babeș, Timișoara</w:t>
            </w:r>
          </w:p>
        </w:tc>
      </w:tr>
      <w:tr w:rsidR="00AE14E9" w14:paraId="38109E2E"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0D29027"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8F0C70A" w14:textId="77777777" w:rsidR="00AE14E9" w:rsidRDefault="00BA1471">
            <w:r>
              <w:rPr>
                <w:rFonts w:ascii="Arial" w:eastAsia="Arial" w:hAnsi="Arial" w:cs="Arial"/>
                <w:i/>
                <w:iCs/>
                <w:color w:val="666666"/>
                <w:sz w:val="18"/>
                <w:szCs w:val="18"/>
              </w:rPr>
              <w:t>Activitate didactică și de cercetare | Full-time</w:t>
            </w:r>
          </w:p>
        </w:tc>
      </w:tr>
    </w:tbl>
    <w:p w14:paraId="70911DFE" w14:textId="77777777" w:rsidR="00AE14E9" w:rsidRDefault="00AE14E9">
      <w:pPr>
        <w:spacing w:before="50"/>
      </w:pPr>
    </w:p>
    <w:p w14:paraId="0A38822D" w14:textId="77777777" w:rsidR="00AE14E9" w:rsidRDefault="00AE14E9">
      <w:pPr>
        <w:pBdr>
          <w:bottom w:val="single" w:sz="3" w:space="1" w:color="CCCCCC"/>
        </w:pBdr>
        <w:spacing w:before="50" w:after="50"/>
      </w:pPr>
    </w:p>
    <w:p w14:paraId="34E6B737" w14:textId="77777777" w:rsidR="00AE14E9" w:rsidRDefault="00AE14E9">
      <w:pPr>
        <w:spacing w:before="5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AE14E9" w14:paraId="0D240D8C"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20F7BAB" w14:textId="77777777" w:rsidR="00AE14E9" w:rsidRDefault="00BA1471">
            <w:r>
              <w:rPr>
                <w:rFonts w:ascii="Arial" w:eastAsia="Arial" w:hAnsi="Arial" w:cs="Arial"/>
                <w:i/>
                <w:iCs/>
                <w:color w:val="666666"/>
                <w:sz w:val="19"/>
                <w:szCs w:val="19"/>
              </w:rPr>
              <w:t xml:space="preserve">feb 2025 – </w:t>
            </w:r>
            <w:r>
              <w:rPr>
                <w:rFonts w:ascii="Arial" w:eastAsia="Arial" w:hAnsi="Arial" w:cs="Arial"/>
                <w:i/>
                <w:iCs/>
                <w:color w:val="666666"/>
                <w:sz w:val="19"/>
                <w:szCs w:val="19"/>
              </w:rPr>
              <w:t>sept 2025</w:t>
            </w:r>
          </w:p>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7081BEB" w14:textId="77777777" w:rsidR="00AE14E9" w:rsidRDefault="00BA1471">
            <w:r>
              <w:rPr>
                <w:rFonts w:ascii="Arial" w:eastAsia="Arial" w:hAnsi="Arial" w:cs="Arial"/>
                <w:b/>
                <w:bCs/>
                <w:sz w:val="21"/>
                <w:szCs w:val="21"/>
              </w:rPr>
              <w:t>Conferențiar Universitar</w:t>
            </w:r>
          </w:p>
        </w:tc>
      </w:tr>
      <w:tr w:rsidR="00AE14E9" w14:paraId="3EE65754"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B285B0C"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639B520" w14:textId="77777777" w:rsidR="00AE14E9" w:rsidRDefault="00BA1471">
            <w:r>
              <w:rPr>
                <w:rFonts w:ascii="Arial" w:eastAsia="Arial" w:hAnsi="Arial" w:cs="Arial"/>
                <w:color w:val="4472C4"/>
                <w:sz w:val="19"/>
                <w:szCs w:val="19"/>
              </w:rPr>
              <w:t>Universitatea de Medicină și Farmacie Victor Babeș, Timișoara</w:t>
            </w:r>
          </w:p>
        </w:tc>
      </w:tr>
      <w:tr w:rsidR="00AE14E9" w14:paraId="7E97EAF6"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5B10F07"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49A4D65" w14:textId="77777777" w:rsidR="00AE14E9" w:rsidRDefault="00BA1471">
            <w:r>
              <w:rPr>
                <w:rFonts w:ascii="Arial" w:eastAsia="Arial" w:hAnsi="Arial" w:cs="Arial"/>
                <w:i/>
                <w:iCs/>
                <w:color w:val="666666"/>
                <w:sz w:val="18"/>
                <w:szCs w:val="18"/>
              </w:rPr>
              <w:t>Activitate didactică | Full-time</w:t>
            </w:r>
          </w:p>
        </w:tc>
      </w:tr>
    </w:tbl>
    <w:p w14:paraId="251DE651" w14:textId="77777777" w:rsidR="00AE14E9" w:rsidRDefault="00AE14E9">
      <w:pPr>
        <w:spacing w:before="50"/>
      </w:pPr>
    </w:p>
    <w:p w14:paraId="07196A26" w14:textId="77777777" w:rsidR="00AE14E9" w:rsidRDefault="00AE14E9">
      <w:pPr>
        <w:pBdr>
          <w:bottom w:val="single" w:sz="3" w:space="1" w:color="CCCCCC"/>
        </w:pBdr>
        <w:spacing w:before="50" w:after="50"/>
      </w:pPr>
    </w:p>
    <w:p w14:paraId="7509FA89" w14:textId="77777777" w:rsidR="00AE14E9" w:rsidRDefault="00AE14E9">
      <w:pPr>
        <w:spacing w:before="5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AE14E9" w14:paraId="2C0663FD"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ADD4598" w14:textId="77777777" w:rsidR="00AE14E9" w:rsidRDefault="00BA1471">
            <w:r>
              <w:rPr>
                <w:rFonts w:ascii="Arial" w:eastAsia="Arial" w:hAnsi="Arial" w:cs="Arial"/>
                <w:i/>
                <w:iCs/>
                <w:color w:val="666666"/>
                <w:sz w:val="19"/>
                <w:szCs w:val="19"/>
              </w:rPr>
              <w:t>2024 – feb 2025</w:t>
            </w:r>
          </w:p>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5C39A62" w14:textId="77777777" w:rsidR="00AE14E9" w:rsidRDefault="00BA1471">
            <w:r>
              <w:rPr>
                <w:rFonts w:ascii="Arial" w:eastAsia="Arial" w:hAnsi="Arial" w:cs="Arial"/>
                <w:b/>
                <w:bCs/>
                <w:sz w:val="21"/>
                <w:szCs w:val="21"/>
              </w:rPr>
              <w:t>Ș</w:t>
            </w:r>
            <w:r>
              <w:rPr>
                <w:rFonts w:ascii="Arial" w:eastAsia="Arial" w:hAnsi="Arial" w:cs="Arial"/>
                <w:b/>
                <w:bCs/>
                <w:sz w:val="21"/>
                <w:szCs w:val="21"/>
              </w:rPr>
              <w:t>ef de lucrări</w:t>
            </w:r>
          </w:p>
        </w:tc>
      </w:tr>
      <w:tr w:rsidR="00AE14E9" w14:paraId="4492DD57"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C36B835"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A456DD2" w14:textId="77777777" w:rsidR="00AE14E9" w:rsidRDefault="00BA1471">
            <w:r>
              <w:rPr>
                <w:rFonts w:ascii="Arial" w:eastAsia="Arial" w:hAnsi="Arial" w:cs="Arial"/>
                <w:color w:val="4472C4"/>
                <w:sz w:val="19"/>
                <w:szCs w:val="19"/>
              </w:rPr>
              <w:t>Universitatea de Medicină și Farmacie Victor Babeș, Timișoara</w:t>
            </w:r>
          </w:p>
        </w:tc>
      </w:tr>
      <w:tr w:rsidR="00AE14E9" w14:paraId="6E16F5EF"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1423A75"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4C96AE6" w14:textId="77777777" w:rsidR="00AE14E9" w:rsidRDefault="00BA1471">
            <w:r>
              <w:rPr>
                <w:rFonts w:ascii="Arial" w:eastAsia="Arial" w:hAnsi="Arial" w:cs="Arial"/>
                <w:i/>
                <w:iCs/>
                <w:color w:val="666666"/>
                <w:sz w:val="18"/>
                <w:szCs w:val="18"/>
              </w:rPr>
              <w:t xml:space="preserve">Activitate didactică </w:t>
            </w:r>
            <w:r>
              <w:rPr>
                <w:rFonts w:ascii="Arial" w:eastAsia="Arial" w:hAnsi="Arial" w:cs="Arial"/>
                <w:i/>
                <w:iCs/>
                <w:color w:val="666666"/>
                <w:sz w:val="18"/>
                <w:szCs w:val="18"/>
              </w:rPr>
              <w:t>| Full-time</w:t>
            </w:r>
          </w:p>
        </w:tc>
      </w:tr>
    </w:tbl>
    <w:p w14:paraId="01E5BFC0" w14:textId="77777777" w:rsidR="00AE14E9" w:rsidRDefault="00AE14E9">
      <w:pPr>
        <w:spacing w:before="50"/>
      </w:pPr>
    </w:p>
    <w:p w14:paraId="65F9C7D8" w14:textId="77777777" w:rsidR="00AE14E9" w:rsidRDefault="00AE14E9">
      <w:pPr>
        <w:pBdr>
          <w:bottom w:val="single" w:sz="3" w:space="1" w:color="CCCCCC"/>
        </w:pBdr>
        <w:spacing w:before="50" w:after="50"/>
      </w:pPr>
    </w:p>
    <w:p w14:paraId="3A7491EC" w14:textId="77777777" w:rsidR="00AE14E9" w:rsidRDefault="00AE14E9">
      <w:pPr>
        <w:spacing w:before="5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AE14E9" w14:paraId="30B8981E"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50EDD28" w14:textId="77777777" w:rsidR="00AE14E9" w:rsidRDefault="00BA1471">
            <w:r>
              <w:rPr>
                <w:rFonts w:ascii="Arial" w:eastAsia="Arial" w:hAnsi="Arial" w:cs="Arial"/>
                <w:i/>
                <w:iCs/>
                <w:color w:val="666666"/>
                <w:sz w:val="19"/>
                <w:szCs w:val="19"/>
              </w:rPr>
              <w:t>2013 – 2024</w:t>
            </w:r>
          </w:p>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64719E1" w14:textId="77777777" w:rsidR="00AE14E9" w:rsidRDefault="00BA1471">
            <w:r>
              <w:rPr>
                <w:rFonts w:ascii="Arial" w:eastAsia="Arial" w:hAnsi="Arial" w:cs="Arial"/>
                <w:b/>
                <w:bCs/>
                <w:sz w:val="21"/>
                <w:szCs w:val="21"/>
              </w:rPr>
              <w:t>Asistent Universitar</w:t>
            </w:r>
          </w:p>
        </w:tc>
      </w:tr>
      <w:tr w:rsidR="00AE14E9" w14:paraId="4B5FA55B"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4B08666"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320C62D" w14:textId="77777777" w:rsidR="00AE14E9" w:rsidRDefault="00BA1471">
            <w:r>
              <w:rPr>
                <w:rFonts w:ascii="Arial" w:eastAsia="Arial" w:hAnsi="Arial" w:cs="Arial"/>
                <w:color w:val="4472C4"/>
                <w:sz w:val="19"/>
                <w:szCs w:val="19"/>
              </w:rPr>
              <w:t>Universitatea de Medicină și Farmacie Victor Babeș, Timișoara</w:t>
            </w:r>
          </w:p>
        </w:tc>
      </w:tr>
      <w:tr w:rsidR="00AE14E9" w14:paraId="13B918C8"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F577B63"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A254AF3" w14:textId="77777777" w:rsidR="00AE14E9" w:rsidRDefault="00BA1471">
            <w:r>
              <w:rPr>
                <w:rFonts w:ascii="Arial" w:eastAsia="Arial" w:hAnsi="Arial" w:cs="Arial"/>
                <w:i/>
                <w:iCs/>
                <w:color w:val="666666"/>
                <w:sz w:val="18"/>
                <w:szCs w:val="18"/>
              </w:rPr>
              <w:t>Activitate didactică | Full-time</w:t>
            </w:r>
          </w:p>
        </w:tc>
      </w:tr>
    </w:tbl>
    <w:p w14:paraId="3EF87597" w14:textId="77777777" w:rsidR="00AE14E9" w:rsidRDefault="00AE14E9">
      <w:pPr>
        <w:spacing w:before="100"/>
      </w:pPr>
    </w:p>
    <w:p w14:paraId="5CC3FFE4" w14:textId="77777777" w:rsidR="00AE14E9" w:rsidRDefault="00BA1471">
      <w:r>
        <w:rPr>
          <w:rFonts w:ascii="Arial" w:eastAsia="Arial" w:hAnsi="Arial" w:cs="Arial"/>
          <w:b/>
          <w:bCs/>
          <w:color w:val="003399"/>
          <w:sz w:val="21"/>
          <w:szCs w:val="21"/>
        </w:rPr>
        <w:t>Experiență Medicală</w:t>
      </w:r>
    </w:p>
    <w:p w14:paraId="663CA617" w14:textId="77777777" w:rsidR="00AE14E9" w:rsidRDefault="00AE14E9">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AE14E9" w14:paraId="290885AF"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FBCBF82" w14:textId="77777777" w:rsidR="00AE14E9" w:rsidRDefault="00BA1471">
            <w:r>
              <w:rPr>
                <w:rFonts w:ascii="Arial" w:eastAsia="Arial" w:hAnsi="Arial" w:cs="Arial"/>
                <w:i/>
                <w:iCs/>
                <w:color w:val="666666"/>
                <w:sz w:val="19"/>
                <w:szCs w:val="19"/>
              </w:rPr>
              <w:t>2017 – prezent</w:t>
            </w:r>
          </w:p>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70BC16E" w14:textId="77777777" w:rsidR="00AE14E9" w:rsidRDefault="00BA1471">
            <w:r>
              <w:rPr>
                <w:rFonts w:ascii="Arial" w:eastAsia="Arial" w:hAnsi="Arial" w:cs="Arial"/>
                <w:b/>
                <w:bCs/>
                <w:sz w:val="21"/>
                <w:szCs w:val="21"/>
              </w:rPr>
              <w:t>Medic Primar Neurolog</w:t>
            </w:r>
          </w:p>
        </w:tc>
      </w:tr>
      <w:tr w:rsidR="00AE14E9" w14:paraId="371D94B4"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6FD538E"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F7B4546" w14:textId="77777777" w:rsidR="00AE14E9" w:rsidRDefault="00BA1471">
            <w:r>
              <w:rPr>
                <w:rFonts w:ascii="Arial" w:eastAsia="Arial" w:hAnsi="Arial" w:cs="Arial"/>
                <w:color w:val="4472C4"/>
                <w:sz w:val="19"/>
                <w:szCs w:val="19"/>
              </w:rPr>
              <w:t xml:space="preserve">Spitalul Clinic Județean de Urgență Pius </w:t>
            </w:r>
            <w:r>
              <w:rPr>
                <w:rFonts w:ascii="Arial" w:eastAsia="Arial" w:hAnsi="Arial" w:cs="Arial"/>
                <w:color w:val="4472C4"/>
                <w:sz w:val="19"/>
                <w:szCs w:val="19"/>
              </w:rPr>
              <w:t>Brânzeu, Clinica Neurologie II, Timișoara</w:t>
            </w:r>
          </w:p>
        </w:tc>
      </w:tr>
      <w:tr w:rsidR="00AE14E9" w14:paraId="33DAF530"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4DE840D"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77CA536" w14:textId="77777777" w:rsidR="00AE14E9" w:rsidRDefault="00BA1471">
            <w:r>
              <w:rPr>
                <w:rFonts w:ascii="Arial" w:eastAsia="Arial" w:hAnsi="Arial" w:cs="Arial"/>
                <w:i/>
                <w:iCs/>
                <w:color w:val="666666"/>
                <w:sz w:val="18"/>
                <w:szCs w:val="18"/>
              </w:rPr>
              <w:t>Medicină clinică | Full-time</w:t>
            </w:r>
          </w:p>
        </w:tc>
      </w:tr>
    </w:tbl>
    <w:p w14:paraId="71FD13D7" w14:textId="77777777" w:rsidR="00AE14E9" w:rsidRDefault="00AE14E9">
      <w:pPr>
        <w:spacing w:before="50"/>
      </w:pPr>
    </w:p>
    <w:p w14:paraId="14EF2468" w14:textId="77777777" w:rsidR="00AE14E9" w:rsidRDefault="00AE14E9">
      <w:pPr>
        <w:pBdr>
          <w:bottom w:val="single" w:sz="3" w:space="1" w:color="CCCCCC"/>
        </w:pBdr>
        <w:spacing w:before="50" w:after="50"/>
      </w:pPr>
    </w:p>
    <w:p w14:paraId="355462A7" w14:textId="77777777" w:rsidR="00AE14E9" w:rsidRDefault="00AE14E9">
      <w:pPr>
        <w:spacing w:before="5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AE14E9" w14:paraId="2C8B2C7E"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1597557" w14:textId="77777777" w:rsidR="00AE14E9" w:rsidRDefault="00BA1471">
            <w:r>
              <w:rPr>
                <w:rFonts w:ascii="Arial" w:eastAsia="Arial" w:hAnsi="Arial" w:cs="Arial"/>
                <w:i/>
                <w:iCs/>
                <w:color w:val="666666"/>
                <w:sz w:val="19"/>
                <w:szCs w:val="19"/>
              </w:rPr>
              <w:t>2012 – 2017</w:t>
            </w:r>
          </w:p>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FF747D2" w14:textId="77777777" w:rsidR="00AE14E9" w:rsidRDefault="00BA1471">
            <w:r>
              <w:rPr>
                <w:rFonts w:ascii="Arial" w:eastAsia="Arial" w:hAnsi="Arial" w:cs="Arial"/>
                <w:b/>
                <w:bCs/>
                <w:sz w:val="21"/>
                <w:szCs w:val="21"/>
              </w:rPr>
              <w:t>Medic Specialist Neurolog</w:t>
            </w:r>
          </w:p>
        </w:tc>
      </w:tr>
      <w:tr w:rsidR="00AE14E9" w14:paraId="7E0B1828"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2369D9C"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4496096" w14:textId="77777777" w:rsidR="00AE14E9" w:rsidRDefault="00BA1471">
            <w:r>
              <w:rPr>
                <w:rFonts w:ascii="Arial" w:eastAsia="Arial" w:hAnsi="Arial" w:cs="Arial"/>
                <w:color w:val="4472C4"/>
                <w:sz w:val="19"/>
                <w:szCs w:val="19"/>
              </w:rPr>
              <w:t>Spitalul Clinic Județean de Urgență, Clinica Neurologie II, Timișoara</w:t>
            </w:r>
          </w:p>
        </w:tc>
      </w:tr>
      <w:tr w:rsidR="00AE14E9" w14:paraId="53469CC3"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AAAA32E"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F42DDDF" w14:textId="77777777" w:rsidR="00AE14E9" w:rsidRDefault="00BA1471">
            <w:r>
              <w:rPr>
                <w:rFonts w:ascii="Arial" w:eastAsia="Arial" w:hAnsi="Arial" w:cs="Arial"/>
                <w:i/>
                <w:iCs/>
                <w:color w:val="666666"/>
                <w:sz w:val="18"/>
                <w:szCs w:val="18"/>
              </w:rPr>
              <w:t>Medicină clinică | Full-time</w:t>
            </w:r>
          </w:p>
        </w:tc>
      </w:tr>
    </w:tbl>
    <w:p w14:paraId="56F8BC21" w14:textId="77777777" w:rsidR="00AE14E9" w:rsidRDefault="00AE14E9">
      <w:pPr>
        <w:spacing w:before="50"/>
      </w:pPr>
    </w:p>
    <w:p w14:paraId="1F562F48" w14:textId="77777777" w:rsidR="00AE14E9" w:rsidRDefault="00AE14E9">
      <w:pPr>
        <w:pBdr>
          <w:bottom w:val="single" w:sz="3" w:space="1" w:color="CCCCCC"/>
        </w:pBdr>
        <w:spacing w:before="50" w:after="50"/>
      </w:pPr>
    </w:p>
    <w:p w14:paraId="4860A935" w14:textId="77777777" w:rsidR="00AE14E9" w:rsidRDefault="00AE14E9">
      <w:pPr>
        <w:spacing w:before="5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AE14E9" w14:paraId="385B6146"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F483E1B" w14:textId="77777777" w:rsidR="00AE14E9" w:rsidRDefault="00BA1471">
            <w:r>
              <w:rPr>
                <w:rFonts w:ascii="Arial" w:eastAsia="Arial" w:hAnsi="Arial" w:cs="Arial"/>
                <w:i/>
                <w:iCs/>
                <w:color w:val="666666"/>
                <w:sz w:val="19"/>
                <w:szCs w:val="19"/>
              </w:rPr>
              <w:t>2007 – 2012</w:t>
            </w:r>
          </w:p>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1836235" w14:textId="77777777" w:rsidR="00AE14E9" w:rsidRDefault="00BA1471">
            <w:r>
              <w:rPr>
                <w:rFonts w:ascii="Arial" w:eastAsia="Arial" w:hAnsi="Arial" w:cs="Arial"/>
                <w:b/>
                <w:bCs/>
                <w:sz w:val="21"/>
                <w:szCs w:val="21"/>
              </w:rPr>
              <w:t xml:space="preserve">Medic Rezident </w:t>
            </w:r>
            <w:r>
              <w:rPr>
                <w:rFonts w:ascii="Arial" w:eastAsia="Arial" w:hAnsi="Arial" w:cs="Arial"/>
                <w:b/>
                <w:bCs/>
                <w:sz w:val="21"/>
                <w:szCs w:val="21"/>
              </w:rPr>
              <w:t>Neurologie</w:t>
            </w:r>
          </w:p>
        </w:tc>
      </w:tr>
      <w:tr w:rsidR="00AE14E9" w14:paraId="2184FABB"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4AF81FD"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C1A8C4A" w14:textId="77777777" w:rsidR="00AE14E9" w:rsidRDefault="00BA1471">
            <w:r>
              <w:rPr>
                <w:rFonts w:ascii="Arial" w:eastAsia="Arial" w:hAnsi="Arial" w:cs="Arial"/>
                <w:color w:val="4472C4"/>
                <w:sz w:val="19"/>
                <w:szCs w:val="19"/>
              </w:rPr>
              <w:t>Spitalul Clinic Județean de Urgență, Clinica Neurologie II, Timișoara</w:t>
            </w:r>
          </w:p>
        </w:tc>
      </w:tr>
      <w:tr w:rsidR="00AE14E9" w14:paraId="7D7F8999"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593978D"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A29B7DF" w14:textId="77777777" w:rsidR="00AE14E9" w:rsidRDefault="00BA1471">
            <w:r>
              <w:rPr>
                <w:rFonts w:ascii="Arial" w:eastAsia="Arial" w:hAnsi="Arial" w:cs="Arial"/>
                <w:i/>
                <w:iCs/>
                <w:color w:val="666666"/>
                <w:sz w:val="18"/>
                <w:szCs w:val="18"/>
              </w:rPr>
              <w:t>Rezidențiat | Full-time</w:t>
            </w:r>
          </w:p>
        </w:tc>
      </w:tr>
    </w:tbl>
    <w:p w14:paraId="20CEBD80" w14:textId="77777777" w:rsidR="00AE14E9" w:rsidRDefault="00AE14E9">
      <w:pPr>
        <w:spacing w:before="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E14E9" w14:paraId="1C6F37CD" w14:textId="77777777">
        <w:tc>
          <w:tcPr>
            <w:tcW w:w="9360" w:type="dxa"/>
            <w:tcBorders>
              <w:top w:val="none" w:sz="0" w:space="0" w:color="FFFFFF"/>
              <w:left w:val="none" w:sz="0" w:space="0" w:color="FFFFFF"/>
              <w:bottom w:val="none" w:sz="0" w:space="0" w:color="FFFFFF"/>
              <w:right w:val="none" w:sz="0" w:space="0" w:color="FFFFFF"/>
            </w:tcBorders>
            <w:shd w:val="clear" w:color="auto" w:fill="003399"/>
            <w:tcMar>
              <w:top w:w="70" w:type="dxa"/>
              <w:left w:w="140" w:type="dxa"/>
              <w:bottom w:w="70" w:type="dxa"/>
              <w:right w:w="140" w:type="dxa"/>
            </w:tcMar>
          </w:tcPr>
          <w:p w14:paraId="3648A859" w14:textId="77777777" w:rsidR="00AE14E9" w:rsidRDefault="00BA1471">
            <w:r>
              <w:rPr>
                <w:rFonts w:ascii="Arial" w:eastAsia="Arial" w:hAnsi="Arial" w:cs="Arial"/>
                <w:b/>
                <w:bCs/>
                <w:color w:val="FFFFFF"/>
                <w:sz w:val="22"/>
                <w:szCs w:val="22"/>
              </w:rPr>
              <w:t>EDUCAȚIE ȘI FORMARE</w:t>
            </w:r>
          </w:p>
        </w:tc>
      </w:tr>
    </w:tbl>
    <w:p w14:paraId="71BC624D" w14:textId="77777777" w:rsidR="00AE14E9" w:rsidRDefault="00AE14E9">
      <w:pPr>
        <w:spacing w:before="8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AE14E9" w14:paraId="3116A9C7"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31411F7" w14:textId="77777777" w:rsidR="00AE14E9" w:rsidRDefault="00BA1471">
            <w:r>
              <w:rPr>
                <w:rFonts w:ascii="Arial" w:eastAsia="Arial" w:hAnsi="Arial" w:cs="Arial"/>
                <w:i/>
                <w:iCs/>
                <w:color w:val="666666"/>
                <w:sz w:val="19"/>
                <w:szCs w:val="19"/>
              </w:rPr>
              <w:t>sept 2025</w:t>
            </w:r>
          </w:p>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4022373" w14:textId="30C01EA1" w:rsidR="00AE14E9" w:rsidRPr="00C353F9" w:rsidRDefault="00BA1471">
            <w:r>
              <w:rPr>
                <w:rFonts w:ascii="Arial" w:eastAsia="Arial" w:hAnsi="Arial" w:cs="Arial"/>
                <w:b/>
                <w:bCs/>
                <w:sz w:val="21"/>
                <w:szCs w:val="21"/>
              </w:rPr>
              <w:t xml:space="preserve">Atestat de Abilitare </w:t>
            </w:r>
          </w:p>
        </w:tc>
      </w:tr>
      <w:tr w:rsidR="00AE14E9" w14:paraId="2C16FC67"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D7BF735"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7C783C6" w14:textId="77777777" w:rsidR="00AE14E9" w:rsidRDefault="00BA1471">
            <w:r>
              <w:rPr>
                <w:rFonts w:ascii="Arial" w:eastAsia="Arial" w:hAnsi="Arial" w:cs="Arial"/>
                <w:color w:val="4472C4"/>
                <w:sz w:val="19"/>
                <w:szCs w:val="19"/>
              </w:rPr>
              <w:t>Universitatea de Medicină și Farmacie Victor Babeș, Timișoara</w:t>
            </w:r>
          </w:p>
        </w:tc>
      </w:tr>
      <w:tr w:rsidR="00AE14E9" w14:paraId="22B25BDB"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8DDBB1C"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D5FE3C9" w14:textId="77777777" w:rsidR="00AE14E9" w:rsidRDefault="00BA1471">
            <w:r>
              <w:rPr>
                <w:rFonts w:ascii="Arial" w:eastAsia="Arial" w:hAnsi="Arial" w:cs="Arial"/>
                <w:i/>
                <w:iCs/>
                <w:color w:val="666666"/>
                <w:sz w:val="18"/>
                <w:szCs w:val="18"/>
              </w:rPr>
              <w:t xml:space="preserve">Domeniu: Medicină – </w:t>
            </w:r>
            <w:r>
              <w:rPr>
                <w:rFonts w:ascii="Arial" w:eastAsia="Arial" w:hAnsi="Arial" w:cs="Arial"/>
                <w:i/>
                <w:iCs/>
                <w:color w:val="666666"/>
                <w:sz w:val="18"/>
                <w:szCs w:val="18"/>
              </w:rPr>
              <w:t>Cardiologie  |  Ordin M.E.N. nr. 3109 / 21.01.2026</w:t>
            </w:r>
          </w:p>
        </w:tc>
      </w:tr>
    </w:tbl>
    <w:p w14:paraId="2F7A9F20" w14:textId="77777777" w:rsidR="00AE14E9" w:rsidRDefault="00AE14E9">
      <w:pPr>
        <w:spacing w:before="50"/>
      </w:pPr>
    </w:p>
    <w:p w14:paraId="0E375BCE" w14:textId="77777777" w:rsidR="00AE14E9" w:rsidRDefault="00AE14E9">
      <w:pPr>
        <w:pBdr>
          <w:bottom w:val="single" w:sz="3" w:space="1" w:color="CCCCCC"/>
        </w:pBdr>
        <w:spacing w:before="50" w:after="50"/>
      </w:pPr>
    </w:p>
    <w:p w14:paraId="7CC9A4C1" w14:textId="77777777" w:rsidR="00AE14E9" w:rsidRDefault="00AE14E9">
      <w:pPr>
        <w:spacing w:before="5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AE14E9" w14:paraId="18CA4B7E"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EC285C9" w14:textId="77777777" w:rsidR="00AE14E9" w:rsidRDefault="00BA1471">
            <w:r>
              <w:rPr>
                <w:rFonts w:ascii="Arial" w:eastAsia="Arial" w:hAnsi="Arial" w:cs="Arial"/>
                <w:i/>
                <w:iCs/>
                <w:color w:val="666666"/>
                <w:sz w:val="19"/>
                <w:szCs w:val="19"/>
              </w:rPr>
              <w:t>2004 – 2010</w:t>
            </w:r>
          </w:p>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7934BA8" w14:textId="77777777" w:rsidR="00AE14E9" w:rsidRDefault="00BA1471">
            <w:r>
              <w:rPr>
                <w:rFonts w:ascii="Arial" w:eastAsia="Arial" w:hAnsi="Arial" w:cs="Arial"/>
                <w:b/>
                <w:bCs/>
                <w:sz w:val="21"/>
                <w:szCs w:val="21"/>
              </w:rPr>
              <w:t>Titlul de Doctor în Medicină</w:t>
            </w:r>
          </w:p>
        </w:tc>
      </w:tr>
      <w:tr w:rsidR="00AE14E9" w14:paraId="5ADF5029"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3BEE3FC"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D3D11C3" w14:textId="77777777" w:rsidR="00AE14E9" w:rsidRDefault="00BA1471">
            <w:r>
              <w:rPr>
                <w:rFonts w:ascii="Arial" w:eastAsia="Arial" w:hAnsi="Arial" w:cs="Arial"/>
                <w:color w:val="4472C4"/>
                <w:sz w:val="19"/>
                <w:szCs w:val="19"/>
              </w:rPr>
              <w:t>Universitatea de Medicină și Farmacie Victor Babeș, Timișoara</w:t>
            </w:r>
          </w:p>
        </w:tc>
      </w:tr>
      <w:tr w:rsidR="00AE14E9" w14:paraId="6E8EC07F"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4132B82"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E78E24F" w14:textId="77777777" w:rsidR="00AE14E9" w:rsidRDefault="00BA1471">
            <w:r>
              <w:rPr>
                <w:rFonts w:ascii="Arial" w:eastAsia="Arial" w:hAnsi="Arial" w:cs="Arial"/>
                <w:i/>
                <w:iCs/>
                <w:color w:val="666666"/>
                <w:sz w:val="18"/>
                <w:szCs w:val="18"/>
              </w:rPr>
              <w:t>Specialitate: Cardiologie  |  Ordin M.E.N. 4387 / 06.06.2011</w:t>
            </w:r>
          </w:p>
        </w:tc>
      </w:tr>
    </w:tbl>
    <w:p w14:paraId="757BB322" w14:textId="77777777" w:rsidR="00AE14E9" w:rsidRDefault="00AE14E9">
      <w:pPr>
        <w:spacing w:before="50"/>
      </w:pPr>
    </w:p>
    <w:p w14:paraId="259407E1" w14:textId="77777777" w:rsidR="00AE14E9" w:rsidRDefault="00AE14E9">
      <w:pPr>
        <w:pBdr>
          <w:bottom w:val="single" w:sz="3" w:space="1" w:color="CCCCCC"/>
        </w:pBdr>
        <w:spacing w:before="50" w:after="50"/>
      </w:pPr>
    </w:p>
    <w:p w14:paraId="3AFF0533" w14:textId="77777777" w:rsidR="00AE14E9" w:rsidRDefault="00AE14E9">
      <w:pPr>
        <w:spacing w:before="5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AE14E9" w14:paraId="4476AB3A"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47753C9" w14:textId="77777777" w:rsidR="00AE14E9" w:rsidRDefault="00BA1471">
            <w:r>
              <w:rPr>
                <w:rFonts w:ascii="Arial" w:eastAsia="Arial" w:hAnsi="Arial" w:cs="Arial"/>
                <w:i/>
                <w:iCs/>
                <w:color w:val="666666"/>
                <w:sz w:val="19"/>
                <w:szCs w:val="19"/>
              </w:rPr>
              <w:t>2015</w:t>
            </w:r>
          </w:p>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0D63330" w14:textId="77777777" w:rsidR="00AE14E9" w:rsidRDefault="00BA1471">
            <w:r>
              <w:rPr>
                <w:rFonts w:ascii="Arial" w:eastAsia="Arial" w:hAnsi="Arial" w:cs="Arial"/>
                <w:b/>
                <w:bCs/>
                <w:sz w:val="21"/>
                <w:szCs w:val="21"/>
              </w:rPr>
              <w:t xml:space="preserve">Atestat de Studii </w:t>
            </w:r>
            <w:r>
              <w:rPr>
                <w:rFonts w:ascii="Arial" w:eastAsia="Arial" w:hAnsi="Arial" w:cs="Arial"/>
                <w:b/>
                <w:bCs/>
                <w:sz w:val="21"/>
                <w:szCs w:val="21"/>
              </w:rPr>
              <w:t>Complementare – Ultrasonografie Doppler Cerebrală</w:t>
            </w:r>
          </w:p>
        </w:tc>
      </w:tr>
      <w:tr w:rsidR="00AE14E9" w14:paraId="7D8EE281"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793B467"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87C8F37" w14:textId="77777777" w:rsidR="00AE14E9" w:rsidRDefault="00BA1471">
            <w:r>
              <w:rPr>
                <w:rFonts w:ascii="Arial" w:eastAsia="Arial" w:hAnsi="Arial" w:cs="Arial"/>
                <w:color w:val="4472C4"/>
                <w:sz w:val="19"/>
                <w:szCs w:val="19"/>
              </w:rPr>
              <w:t>Ministerul Sănătății – Centrul de Resurse Umane în Sănătate Publică</w:t>
            </w:r>
          </w:p>
        </w:tc>
      </w:tr>
    </w:tbl>
    <w:p w14:paraId="6D947189" w14:textId="77777777" w:rsidR="00AE14E9" w:rsidRDefault="00AE14E9">
      <w:pPr>
        <w:spacing w:before="50"/>
      </w:pPr>
    </w:p>
    <w:p w14:paraId="72D48C94" w14:textId="77777777" w:rsidR="00AE14E9" w:rsidRDefault="00AE14E9">
      <w:pPr>
        <w:pBdr>
          <w:bottom w:val="single" w:sz="3" w:space="1" w:color="CCCCCC"/>
        </w:pBdr>
        <w:spacing w:before="50" w:after="50"/>
      </w:pPr>
    </w:p>
    <w:p w14:paraId="5F21F4B0" w14:textId="77777777" w:rsidR="00AE14E9" w:rsidRDefault="00AE14E9">
      <w:pPr>
        <w:spacing w:before="5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AE14E9" w14:paraId="66A69DBF"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4B4E592" w14:textId="77777777" w:rsidR="00AE14E9" w:rsidRDefault="00BA1471">
            <w:r>
              <w:rPr>
                <w:rFonts w:ascii="Arial" w:eastAsia="Arial" w:hAnsi="Arial" w:cs="Arial"/>
                <w:i/>
                <w:iCs/>
                <w:color w:val="666666"/>
                <w:sz w:val="19"/>
                <w:szCs w:val="19"/>
              </w:rPr>
              <w:t>2013</w:t>
            </w:r>
          </w:p>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AD7DF84" w14:textId="77777777" w:rsidR="00AE14E9" w:rsidRDefault="00BA1471">
            <w:r>
              <w:rPr>
                <w:rFonts w:ascii="Arial" w:eastAsia="Arial" w:hAnsi="Arial" w:cs="Arial"/>
                <w:b/>
                <w:bCs/>
                <w:sz w:val="21"/>
                <w:szCs w:val="21"/>
              </w:rPr>
              <w:t>Certificat – Formare Psihopedagogică Nivel I–II</w:t>
            </w:r>
          </w:p>
        </w:tc>
      </w:tr>
      <w:tr w:rsidR="00AE14E9" w14:paraId="29789882"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0FE9D94"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2EFED89" w14:textId="77777777" w:rsidR="00AE14E9" w:rsidRDefault="00BA1471">
            <w:r>
              <w:rPr>
                <w:rFonts w:ascii="Arial" w:eastAsia="Arial" w:hAnsi="Arial" w:cs="Arial"/>
                <w:color w:val="4472C4"/>
                <w:sz w:val="19"/>
                <w:szCs w:val="19"/>
              </w:rPr>
              <w:t xml:space="preserve">Universitatea Eftimie Murgu Reșița – Departamentul pentru Pregătirea </w:t>
            </w:r>
            <w:r>
              <w:rPr>
                <w:rFonts w:ascii="Arial" w:eastAsia="Arial" w:hAnsi="Arial" w:cs="Arial"/>
                <w:color w:val="4472C4"/>
                <w:sz w:val="19"/>
                <w:szCs w:val="19"/>
              </w:rPr>
              <w:t>Personalului Didactic</w:t>
            </w:r>
          </w:p>
        </w:tc>
      </w:tr>
    </w:tbl>
    <w:p w14:paraId="127F70BF" w14:textId="77777777" w:rsidR="00AE14E9" w:rsidRDefault="00AE14E9">
      <w:pPr>
        <w:spacing w:before="50"/>
      </w:pPr>
    </w:p>
    <w:p w14:paraId="3E1507BC" w14:textId="77777777" w:rsidR="00AE14E9" w:rsidRDefault="00AE14E9">
      <w:pPr>
        <w:pBdr>
          <w:bottom w:val="single" w:sz="3" w:space="1" w:color="CCCCCC"/>
        </w:pBdr>
        <w:spacing w:before="50" w:after="50"/>
      </w:pPr>
    </w:p>
    <w:p w14:paraId="47D6818D" w14:textId="77777777" w:rsidR="00AE14E9" w:rsidRDefault="00AE14E9">
      <w:pPr>
        <w:spacing w:before="5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AE14E9" w14:paraId="74993F1B"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B34D84A" w14:textId="77777777" w:rsidR="00AE14E9" w:rsidRDefault="00BA1471">
            <w:r>
              <w:rPr>
                <w:rFonts w:ascii="Arial" w:eastAsia="Arial" w:hAnsi="Arial" w:cs="Arial"/>
                <w:i/>
                <w:iCs/>
                <w:color w:val="666666"/>
                <w:sz w:val="19"/>
                <w:szCs w:val="19"/>
              </w:rPr>
              <w:t>1997 – 2003</w:t>
            </w:r>
          </w:p>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55A4F1A" w14:textId="77777777" w:rsidR="00AE14E9" w:rsidRDefault="00BA1471">
            <w:r>
              <w:rPr>
                <w:rFonts w:ascii="Arial" w:eastAsia="Arial" w:hAnsi="Arial" w:cs="Arial"/>
                <w:b/>
                <w:bCs/>
                <w:sz w:val="21"/>
                <w:szCs w:val="21"/>
              </w:rPr>
              <w:t>Titlul de Doctor-Medic (Licență în Medicină Generală)</w:t>
            </w:r>
          </w:p>
        </w:tc>
      </w:tr>
      <w:tr w:rsidR="00AE14E9" w14:paraId="50096468"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616E486"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2749A9F2" w14:textId="77777777" w:rsidR="00AE14E9" w:rsidRDefault="00BA1471">
            <w:r>
              <w:rPr>
                <w:rFonts w:ascii="Arial" w:eastAsia="Arial" w:hAnsi="Arial" w:cs="Arial"/>
                <w:color w:val="4472C4"/>
                <w:sz w:val="19"/>
                <w:szCs w:val="19"/>
              </w:rPr>
              <w:t>Universitatea de Vest Vasile Goldiș, Arad</w:t>
            </w:r>
          </w:p>
        </w:tc>
      </w:tr>
    </w:tbl>
    <w:p w14:paraId="135DCC2A" w14:textId="77777777" w:rsidR="00AE14E9" w:rsidRDefault="00AE14E9">
      <w:pPr>
        <w:spacing w:before="50"/>
      </w:pPr>
    </w:p>
    <w:p w14:paraId="106E2DB2" w14:textId="77777777" w:rsidR="00AE14E9" w:rsidRDefault="00AE14E9">
      <w:pPr>
        <w:pBdr>
          <w:bottom w:val="single" w:sz="3" w:space="1" w:color="CCCCCC"/>
        </w:pBdr>
        <w:spacing w:before="50" w:after="50"/>
      </w:pPr>
    </w:p>
    <w:p w14:paraId="6DDBAF3F" w14:textId="77777777" w:rsidR="00AE14E9" w:rsidRDefault="00AE14E9">
      <w:pPr>
        <w:spacing w:before="5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6960"/>
      </w:tblGrid>
      <w:tr w:rsidR="00AE14E9" w14:paraId="39745E48"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FDEFCD3" w14:textId="77777777" w:rsidR="00AE14E9" w:rsidRDefault="00BA1471">
            <w:r>
              <w:rPr>
                <w:rFonts w:ascii="Arial" w:eastAsia="Arial" w:hAnsi="Arial" w:cs="Arial"/>
                <w:i/>
                <w:iCs/>
                <w:color w:val="666666"/>
                <w:sz w:val="19"/>
                <w:szCs w:val="19"/>
              </w:rPr>
              <w:t>1993 – 1997</w:t>
            </w:r>
          </w:p>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895E4B9" w14:textId="77777777" w:rsidR="00AE14E9" w:rsidRDefault="00BA1471">
            <w:r>
              <w:rPr>
                <w:rFonts w:ascii="Arial" w:eastAsia="Arial" w:hAnsi="Arial" w:cs="Arial"/>
                <w:b/>
                <w:bCs/>
                <w:sz w:val="21"/>
                <w:szCs w:val="21"/>
              </w:rPr>
              <w:t>Diplomă de Bacalaureat – Matematică-Fizică</w:t>
            </w:r>
          </w:p>
        </w:tc>
      </w:tr>
      <w:tr w:rsidR="00AE14E9" w14:paraId="62F7F71C" w14:textId="77777777">
        <w:tc>
          <w:tcPr>
            <w:tcW w:w="24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051B82A" w14:textId="77777777" w:rsidR="00AE14E9" w:rsidRDefault="00AE14E9"/>
        </w:tc>
        <w:tc>
          <w:tcPr>
            <w:tcW w:w="69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A12EC17" w14:textId="77777777" w:rsidR="00AE14E9" w:rsidRDefault="00BA1471">
            <w:r>
              <w:rPr>
                <w:rFonts w:ascii="Arial" w:eastAsia="Arial" w:hAnsi="Arial" w:cs="Arial"/>
                <w:color w:val="4472C4"/>
                <w:sz w:val="19"/>
                <w:szCs w:val="19"/>
              </w:rPr>
              <w:t>Grup Școlar Decebal, Drobeta Turnu Severin</w:t>
            </w:r>
          </w:p>
        </w:tc>
      </w:tr>
    </w:tbl>
    <w:p w14:paraId="5DCFD552" w14:textId="77777777" w:rsidR="00AE14E9" w:rsidRDefault="00AE14E9">
      <w:pPr>
        <w:spacing w:before="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E14E9" w14:paraId="34AB0659" w14:textId="77777777">
        <w:tc>
          <w:tcPr>
            <w:tcW w:w="9360" w:type="dxa"/>
            <w:tcBorders>
              <w:top w:val="none" w:sz="0" w:space="0" w:color="FFFFFF"/>
              <w:left w:val="none" w:sz="0" w:space="0" w:color="FFFFFF"/>
              <w:bottom w:val="none" w:sz="0" w:space="0" w:color="FFFFFF"/>
              <w:right w:val="none" w:sz="0" w:space="0" w:color="FFFFFF"/>
            </w:tcBorders>
            <w:shd w:val="clear" w:color="auto" w:fill="003399"/>
            <w:tcMar>
              <w:top w:w="70" w:type="dxa"/>
              <w:left w:w="140" w:type="dxa"/>
              <w:bottom w:w="70" w:type="dxa"/>
              <w:right w:w="140" w:type="dxa"/>
            </w:tcMar>
          </w:tcPr>
          <w:p w14:paraId="09379710" w14:textId="77777777" w:rsidR="00AE14E9" w:rsidRDefault="00BA1471">
            <w:r>
              <w:rPr>
                <w:rFonts w:ascii="Arial" w:eastAsia="Arial" w:hAnsi="Arial" w:cs="Arial"/>
                <w:b/>
                <w:bCs/>
                <w:color w:val="FFFFFF"/>
                <w:sz w:val="22"/>
                <w:szCs w:val="22"/>
              </w:rPr>
              <w:t xml:space="preserve">CURSURI </w:t>
            </w:r>
            <w:r>
              <w:rPr>
                <w:rFonts w:ascii="Arial" w:eastAsia="Arial" w:hAnsi="Arial" w:cs="Arial"/>
                <w:b/>
                <w:bCs/>
                <w:color w:val="FFFFFF"/>
                <w:sz w:val="22"/>
                <w:szCs w:val="22"/>
              </w:rPr>
              <w:t>POSTUNIVERSITARE &amp; FORMARE CONTINUĂ</w:t>
            </w:r>
          </w:p>
        </w:tc>
      </w:tr>
    </w:tbl>
    <w:p w14:paraId="201F4D64" w14:textId="77777777" w:rsidR="00AE14E9" w:rsidRDefault="00AE14E9">
      <w:pPr>
        <w:spacing w:before="80"/>
      </w:pPr>
    </w:p>
    <w:p w14:paraId="6BE8AC9F" w14:textId="77777777" w:rsidR="00AE14E9" w:rsidRDefault="00BA1471">
      <w:pPr>
        <w:spacing w:before="55" w:after="55"/>
      </w:pPr>
      <w:r>
        <w:rPr>
          <w:rFonts w:ascii="Arial" w:eastAsia="Arial" w:hAnsi="Arial" w:cs="Arial"/>
          <w:b/>
          <w:bCs/>
          <w:color w:val="003399"/>
          <w:sz w:val="19"/>
          <w:szCs w:val="19"/>
        </w:rPr>
        <w:t xml:space="preserve">– </w:t>
      </w:r>
      <w:r>
        <w:rPr>
          <w:rFonts w:ascii="Arial" w:eastAsia="Arial" w:hAnsi="Arial" w:cs="Arial"/>
          <w:sz w:val="19"/>
          <w:szCs w:val="19"/>
        </w:rPr>
        <w:t>Tehnici de bază în chirurgia vasculară și endovasculară – Timișoara (2024)</w:t>
      </w:r>
    </w:p>
    <w:p w14:paraId="583351E9" w14:textId="7E6A30C1" w:rsidR="00AE14E9" w:rsidRDefault="00BA1471">
      <w:pPr>
        <w:spacing w:before="55" w:after="55"/>
      </w:pPr>
      <w:r>
        <w:rPr>
          <w:rFonts w:ascii="Arial" w:eastAsia="Arial" w:hAnsi="Arial" w:cs="Arial"/>
          <w:b/>
          <w:bCs/>
          <w:color w:val="003399"/>
          <w:sz w:val="19"/>
          <w:szCs w:val="19"/>
        </w:rPr>
        <w:t xml:space="preserve">– </w:t>
      </w:r>
      <w:r>
        <w:rPr>
          <w:rFonts w:ascii="Arial" w:eastAsia="Arial" w:hAnsi="Arial" w:cs="Arial"/>
          <w:sz w:val="19"/>
          <w:szCs w:val="19"/>
        </w:rPr>
        <w:t>Acute Ischemic Stroke Course – Istinye University, Istanbul, Turcia (</w:t>
      </w:r>
      <w:r w:rsidR="00D76629">
        <w:rPr>
          <w:rFonts w:ascii="Arial" w:eastAsia="Arial" w:hAnsi="Arial" w:cs="Arial"/>
          <w:sz w:val="19"/>
          <w:szCs w:val="19"/>
        </w:rPr>
        <w:t xml:space="preserve">Jun </w:t>
      </w:r>
      <w:r>
        <w:rPr>
          <w:rFonts w:ascii="Arial" w:eastAsia="Arial" w:hAnsi="Arial" w:cs="Arial"/>
          <w:sz w:val="19"/>
          <w:szCs w:val="19"/>
        </w:rPr>
        <w:t>2019)</w:t>
      </w:r>
    </w:p>
    <w:p w14:paraId="43DA451D" w14:textId="3BFBEBDB" w:rsidR="00AE14E9" w:rsidRDefault="00BA1471">
      <w:pPr>
        <w:spacing w:before="55" w:after="55"/>
      </w:pPr>
      <w:r>
        <w:rPr>
          <w:rFonts w:ascii="Arial" w:eastAsia="Arial" w:hAnsi="Arial" w:cs="Arial"/>
          <w:b/>
          <w:bCs/>
          <w:color w:val="003399"/>
          <w:sz w:val="19"/>
          <w:szCs w:val="19"/>
        </w:rPr>
        <w:t xml:space="preserve">– </w:t>
      </w:r>
      <w:r>
        <w:rPr>
          <w:rFonts w:ascii="Arial" w:eastAsia="Arial" w:hAnsi="Arial" w:cs="Arial"/>
          <w:sz w:val="19"/>
          <w:szCs w:val="19"/>
        </w:rPr>
        <w:t>Acute Ischemic Stroke Course – Aydin University, Istanbul,</w:t>
      </w:r>
      <w:r>
        <w:rPr>
          <w:rFonts w:ascii="Arial" w:eastAsia="Arial" w:hAnsi="Arial" w:cs="Arial"/>
          <w:sz w:val="19"/>
          <w:szCs w:val="19"/>
        </w:rPr>
        <w:t xml:space="preserve"> Turcia (</w:t>
      </w:r>
      <w:r w:rsidR="00D76629">
        <w:rPr>
          <w:rFonts w:ascii="Arial" w:eastAsia="Arial" w:hAnsi="Arial" w:cs="Arial"/>
          <w:sz w:val="19"/>
          <w:szCs w:val="19"/>
        </w:rPr>
        <w:t xml:space="preserve">Sep </w:t>
      </w:r>
      <w:r>
        <w:rPr>
          <w:rFonts w:ascii="Arial" w:eastAsia="Arial" w:hAnsi="Arial" w:cs="Arial"/>
          <w:sz w:val="19"/>
          <w:szCs w:val="19"/>
        </w:rPr>
        <w:t>2019)</w:t>
      </w:r>
    </w:p>
    <w:p w14:paraId="279A51D6" w14:textId="77777777" w:rsidR="00AE14E9" w:rsidRDefault="00BA1471">
      <w:pPr>
        <w:spacing w:before="55" w:after="55"/>
      </w:pPr>
      <w:r>
        <w:rPr>
          <w:rFonts w:ascii="Arial" w:eastAsia="Arial" w:hAnsi="Arial" w:cs="Arial"/>
          <w:b/>
          <w:bCs/>
          <w:color w:val="003399"/>
          <w:sz w:val="19"/>
          <w:szCs w:val="19"/>
        </w:rPr>
        <w:t xml:space="preserve">– </w:t>
      </w:r>
      <w:r>
        <w:rPr>
          <w:rFonts w:ascii="Arial" w:eastAsia="Arial" w:hAnsi="Arial" w:cs="Arial"/>
          <w:sz w:val="19"/>
          <w:szCs w:val="19"/>
        </w:rPr>
        <w:t>Stroke Treatment Logistics Simulation Training Course – St. Anne's University Hospital Brno, Cehia (2019)</w:t>
      </w:r>
    </w:p>
    <w:p w14:paraId="66425296" w14:textId="77777777" w:rsidR="00AE14E9" w:rsidRDefault="00BA1471">
      <w:pPr>
        <w:spacing w:before="55" w:after="55"/>
      </w:pPr>
      <w:r>
        <w:rPr>
          <w:rFonts w:ascii="Arial" w:eastAsia="Arial" w:hAnsi="Arial" w:cs="Arial"/>
          <w:b/>
          <w:bCs/>
          <w:color w:val="003399"/>
          <w:sz w:val="19"/>
          <w:szCs w:val="19"/>
        </w:rPr>
        <w:t xml:space="preserve">– </w:t>
      </w:r>
      <w:r>
        <w:rPr>
          <w:rFonts w:ascii="Arial" w:eastAsia="Arial" w:hAnsi="Arial" w:cs="Arial"/>
          <w:sz w:val="19"/>
          <w:szCs w:val="19"/>
        </w:rPr>
        <w:t>Transcranial Duplexsonography Course Berlin – Departamentul Neurologic al Charité, Berlin (2018)</w:t>
      </w:r>
    </w:p>
    <w:p w14:paraId="19672826" w14:textId="77777777" w:rsidR="00AE14E9" w:rsidRDefault="00BA1471">
      <w:pPr>
        <w:spacing w:before="55" w:after="55"/>
      </w:pPr>
      <w:r>
        <w:rPr>
          <w:rFonts w:ascii="Arial" w:eastAsia="Arial" w:hAnsi="Arial" w:cs="Arial"/>
          <w:b/>
          <w:bCs/>
          <w:color w:val="003399"/>
          <w:sz w:val="19"/>
          <w:szCs w:val="19"/>
        </w:rPr>
        <w:t xml:space="preserve">– </w:t>
      </w:r>
      <w:r>
        <w:rPr>
          <w:rFonts w:ascii="Arial" w:eastAsia="Arial" w:hAnsi="Arial" w:cs="Arial"/>
          <w:sz w:val="19"/>
          <w:szCs w:val="19"/>
        </w:rPr>
        <w:t xml:space="preserve">Training Program PainStim – </w:t>
      </w:r>
      <w:r>
        <w:rPr>
          <w:rFonts w:ascii="Arial" w:eastAsia="Arial" w:hAnsi="Arial" w:cs="Arial"/>
          <w:sz w:val="19"/>
          <w:szCs w:val="19"/>
        </w:rPr>
        <w:t>Budapest, Szeged (Ungaria) &amp; Ružomberok (Slovacia) (2015)</w:t>
      </w:r>
    </w:p>
    <w:p w14:paraId="257C039C" w14:textId="77777777" w:rsidR="00AE14E9" w:rsidRDefault="00BA1471">
      <w:pPr>
        <w:spacing w:before="55" w:after="55"/>
      </w:pPr>
      <w:r>
        <w:rPr>
          <w:rFonts w:ascii="Arial" w:eastAsia="Arial" w:hAnsi="Arial" w:cs="Arial"/>
          <w:b/>
          <w:bCs/>
          <w:color w:val="003399"/>
          <w:sz w:val="19"/>
          <w:szCs w:val="19"/>
        </w:rPr>
        <w:t xml:space="preserve">– </w:t>
      </w:r>
      <w:r>
        <w:rPr>
          <w:rFonts w:ascii="Arial" w:eastAsia="Arial" w:hAnsi="Arial" w:cs="Arial"/>
          <w:sz w:val="19"/>
          <w:szCs w:val="19"/>
        </w:rPr>
        <w:t>East European Course of Epilepsy – International League Against Epilepsy (2014)</w:t>
      </w:r>
    </w:p>
    <w:p w14:paraId="21A34E4B" w14:textId="77777777" w:rsidR="00AE14E9" w:rsidRDefault="00BA1471">
      <w:pPr>
        <w:spacing w:before="55" w:after="55"/>
      </w:pPr>
      <w:r>
        <w:rPr>
          <w:rFonts w:ascii="Arial" w:eastAsia="Arial" w:hAnsi="Arial" w:cs="Arial"/>
          <w:b/>
          <w:bCs/>
          <w:color w:val="003399"/>
          <w:sz w:val="19"/>
          <w:szCs w:val="19"/>
        </w:rPr>
        <w:t xml:space="preserve">– </w:t>
      </w:r>
      <w:r>
        <w:rPr>
          <w:rFonts w:ascii="Arial" w:eastAsia="Arial" w:hAnsi="Arial" w:cs="Arial"/>
          <w:sz w:val="19"/>
          <w:szCs w:val="19"/>
        </w:rPr>
        <w:t>Diagnostic and Management of Neurogenic Bladder – UMF Victor Babeș, Timișoara (2014)</w:t>
      </w:r>
    </w:p>
    <w:p w14:paraId="10FF45D3" w14:textId="77777777" w:rsidR="00AE14E9" w:rsidRDefault="00BA1471">
      <w:pPr>
        <w:spacing w:before="55" w:after="55"/>
      </w:pPr>
      <w:r>
        <w:rPr>
          <w:rFonts w:ascii="Arial" w:eastAsia="Arial" w:hAnsi="Arial" w:cs="Arial"/>
          <w:b/>
          <w:bCs/>
          <w:color w:val="003399"/>
          <w:sz w:val="19"/>
          <w:szCs w:val="19"/>
        </w:rPr>
        <w:t xml:space="preserve">– </w:t>
      </w:r>
      <w:r>
        <w:rPr>
          <w:rFonts w:ascii="Arial" w:eastAsia="Arial" w:hAnsi="Arial" w:cs="Arial"/>
          <w:sz w:val="19"/>
          <w:szCs w:val="19"/>
        </w:rPr>
        <w:t>Summer Stroke School – Inte</w:t>
      </w:r>
      <w:r>
        <w:rPr>
          <w:rFonts w:ascii="Arial" w:eastAsia="Arial" w:hAnsi="Arial" w:cs="Arial"/>
          <w:sz w:val="19"/>
          <w:szCs w:val="19"/>
        </w:rPr>
        <w:t>r-University Centre, Dubrovnik (2011)</w:t>
      </w:r>
    </w:p>
    <w:p w14:paraId="2C267A6F" w14:textId="77777777" w:rsidR="00AE14E9" w:rsidRDefault="00BA1471">
      <w:pPr>
        <w:spacing w:before="55" w:after="55"/>
      </w:pPr>
      <w:r>
        <w:rPr>
          <w:rFonts w:ascii="Arial" w:eastAsia="Arial" w:hAnsi="Arial" w:cs="Arial"/>
          <w:b/>
          <w:bCs/>
          <w:color w:val="003399"/>
          <w:sz w:val="19"/>
          <w:szCs w:val="19"/>
        </w:rPr>
        <w:t xml:space="preserve">– </w:t>
      </w:r>
      <w:r>
        <w:rPr>
          <w:rFonts w:ascii="Arial" w:eastAsia="Arial" w:hAnsi="Arial" w:cs="Arial"/>
          <w:sz w:val="19"/>
          <w:szCs w:val="19"/>
        </w:rPr>
        <w:t>Neurosonologie I și II; Neuroimagistică; Neuropatologie – Institutul Național de Neurologie și Boli Neurovasculare, București (2007)</w:t>
      </w:r>
    </w:p>
    <w:p w14:paraId="5B33B270" w14:textId="77777777" w:rsidR="00AE14E9" w:rsidRDefault="00BA1471">
      <w:pPr>
        <w:spacing w:before="55" w:after="55"/>
      </w:pPr>
      <w:r>
        <w:rPr>
          <w:rFonts w:ascii="Arial" w:eastAsia="Arial" w:hAnsi="Arial" w:cs="Arial"/>
          <w:b/>
          <w:bCs/>
          <w:color w:val="003399"/>
          <w:sz w:val="19"/>
          <w:szCs w:val="19"/>
        </w:rPr>
        <w:t xml:space="preserve">– </w:t>
      </w:r>
      <w:r>
        <w:rPr>
          <w:rFonts w:ascii="Arial" w:eastAsia="Arial" w:hAnsi="Arial" w:cs="Arial"/>
          <w:sz w:val="19"/>
          <w:szCs w:val="19"/>
        </w:rPr>
        <w:t xml:space="preserve">Managementul Proiectelor de Cercetare Științifică Medicală și Farmaceutică – UMF </w:t>
      </w:r>
      <w:r>
        <w:rPr>
          <w:rFonts w:ascii="Arial" w:eastAsia="Arial" w:hAnsi="Arial" w:cs="Arial"/>
          <w:sz w:val="19"/>
          <w:szCs w:val="19"/>
        </w:rPr>
        <w:t>Victor Babeș, Timișoara (2005)</w:t>
      </w:r>
    </w:p>
    <w:p w14:paraId="695162C7" w14:textId="77777777" w:rsidR="00AE14E9" w:rsidRDefault="00AE14E9">
      <w:pPr>
        <w:spacing w:before="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E14E9" w14:paraId="37932766" w14:textId="77777777">
        <w:tc>
          <w:tcPr>
            <w:tcW w:w="9360" w:type="dxa"/>
            <w:tcBorders>
              <w:top w:val="none" w:sz="0" w:space="0" w:color="FFFFFF"/>
              <w:left w:val="none" w:sz="0" w:space="0" w:color="FFFFFF"/>
              <w:bottom w:val="none" w:sz="0" w:space="0" w:color="FFFFFF"/>
              <w:right w:val="none" w:sz="0" w:space="0" w:color="FFFFFF"/>
            </w:tcBorders>
            <w:shd w:val="clear" w:color="auto" w:fill="003399"/>
            <w:tcMar>
              <w:top w:w="70" w:type="dxa"/>
              <w:left w:w="140" w:type="dxa"/>
              <w:bottom w:w="70" w:type="dxa"/>
              <w:right w:w="140" w:type="dxa"/>
            </w:tcMar>
          </w:tcPr>
          <w:p w14:paraId="7247624D" w14:textId="77777777" w:rsidR="00AE14E9" w:rsidRDefault="00BA1471">
            <w:r>
              <w:rPr>
                <w:rFonts w:ascii="Arial" w:eastAsia="Arial" w:hAnsi="Arial" w:cs="Arial"/>
                <w:b/>
                <w:bCs/>
                <w:color w:val="FFFFFF"/>
                <w:sz w:val="22"/>
                <w:szCs w:val="22"/>
              </w:rPr>
              <w:t>APARTENENȚA LA ORGANIZAȚII PROFESIONALE</w:t>
            </w:r>
          </w:p>
        </w:tc>
      </w:tr>
    </w:tbl>
    <w:p w14:paraId="235B3E9C" w14:textId="77777777" w:rsidR="00AE14E9" w:rsidRDefault="00AE14E9">
      <w:pPr>
        <w:spacing w:before="80"/>
      </w:pPr>
    </w:p>
    <w:p w14:paraId="7E7DB63E" w14:textId="77777777" w:rsidR="00AE14E9" w:rsidRDefault="00BA1471">
      <w:pPr>
        <w:spacing w:before="50" w:after="50"/>
      </w:pPr>
      <w:r>
        <w:rPr>
          <w:rFonts w:ascii="Arial" w:eastAsia="Arial" w:hAnsi="Arial" w:cs="Arial"/>
          <w:b/>
          <w:bCs/>
          <w:color w:val="003399"/>
          <w:sz w:val="19"/>
          <w:szCs w:val="19"/>
        </w:rPr>
        <w:t xml:space="preserve">– </w:t>
      </w:r>
      <w:r>
        <w:rPr>
          <w:rFonts w:ascii="Arial" w:eastAsia="Arial" w:hAnsi="Arial" w:cs="Arial"/>
          <w:sz w:val="19"/>
          <w:szCs w:val="19"/>
        </w:rPr>
        <w:t>European Academy of Neurology (EAN)</w:t>
      </w:r>
    </w:p>
    <w:p w14:paraId="37C564FB" w14:textId="77777777" w:rsidR="00AE14E9" w:rsidRDefault="00BA1471">
      <w:pPr>
        <w:spacing w:before="50" w:after="50"/>
      </w:pPr>
      <w:r>
        <w:rPr>
          <w:rFonts w:ascii="Arial" w:eastAsia="Arial" w:hAnsi="Arial" w:cs="Arial"/>
          <w:b/>
          <w:bCs/>
          <w:color w:val="003399"/>
          <w:sz w:val="19"/>
          <w:szCs w:val="19"/>
        </w:rPr>
        <w:t xml:space="preserve">– </w:t>
      </w:r>
      <w:r>
        <w:rPr>
          <w:rFonts w:ascii="Arial" w:eastAsia="Arial" w:hAnsi="Arial" w:cs="Arial"/>
          <w:sz w:val="19"/>
          <w:szCs w:val="19"/>
        </w:rPr>
        <w:t>European Stroke Organisation (ESO)</w:t>
      </w:r>
    </w:p>
    <w:p w14:paraId="2ABFBFC9" w14:textId="77777777" w:rsidR="00AE14E9" w:rsidRDefault="00BA1471">
      <w:pPr>
        <w:spacing w:before="50" w:after="50"/>
      </w:pPr>
      <w:r>
        <w:rPr>
          <w:rFonts w:ascii="Arial" w:eastAsia="Arial" w:hAnsi="Arial" w:cs="Arial"/>
          <w:b/>
          <w:bCs/>
          <w:color w:val="003399"/>
          <w:sz w:val="19"/>
          <w:szCs w:val="19"/>
        </w:rPr>
        <w:t xml:space="preserve">– </w:t>
      </w:r>
      <w:r>
        <w:rPr>
          <w:rFonts w:ascii="Arial" w:eastAsia="Arial" w:hAnsi="Arial" w:cs="Arial"/>
          <w:sz w:val="19"/>
          <w:szCs w:val="19"/>
        </w:rPr>
        <w:t>Societatea Română de Neurologie (SNR)</w:t>
      </w:r>
    </w:p>
    <w:p w14:paraId="192D4A41" w14:textId="77777777" w:rsidR="00AE14E9" w:rsidRDefault="00AE14E9">
      <w:pPr>
        <w:spacing w:before="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E14E9" w14:paraId="31C3E44E" w14:textId="77777777">
        <w:tc>
          <w:tcPr>
            <w:tcW w:w="9360" w:type="dxa"/>
            <w:tcBorders>
              <w:top w:val="none" w:sz="0" w:space="0" w:color="FFFFFF"/>
              <w:left w:val="none" w:sz="0" w:space="0" w:color="FFFFFF"/>
              <w:bottom w:val="none" w:sz="0" w:space="0" w:color="FFFFFF"/>
              <w:right w:val="none" w:sz="0" w:space="0" w:color="FFFFFF"/>
            </w:tcBorders>
            <w:shd w:val="clear" w:color="auto" w:fill="003399"/>
            <w:tcMar>
              <w:top w:w="70" w:type="dxa"/>
              <w:left w:w="140" w:type="dxa"/>
              <w:bottom w:w="70" w:type="dxa"/>
              <w:right w:w="140" w:type="dxa"/>
            </w:tcMar>
          </w:tcPr>
          <w:p w14:paraId="798656FB" w14:textId="77777777" w:rsidR="00AE14E9" w:rsidRDefault="00BA1471">
            <w:r>
              <w:rPr>
                <w:rFonts w:ascii="Arial" w:eastAsia="Arial" w:hAnsi="Arial" w:cs="Arial"/>
                <w:b/>
                <w:bCs/>
                <w:color w:val="FFFFFF"/>
                <w:sz w:val="22"/>
                <w:szCs w:val="22"/>
              </w:rPr>
              <w:t>COMPETENȚE PERSONALE</w:t>
            </w:r>
          </w:p>
        </w:tc>
      </w:tr>
    </w:tbl>
    <w:p w14:paraId="431A4766" w14:textId="77777777" w:rsidR="00AE14E9" w:rsidRDefault="00AE14E9">
      <w:pPr>
        <w:spacing w:before="80"/>
      </w:pPr>
    </w:p>
    <w:p w14:paraId="6231DD55" w14:textId="77777777" w:rsidR="00AE14E9" w:rsidRDefault="00BA1471">
      <w:r>
        <w:rPr>
          <w:rFonts w:ascii="Arial" w:eastAsia="Arial" w:hAnsi="Arial" w:cs="Arial"/>
          <w:b/>
          <w:bCs/>
          <w:color w:val="003399"/>
        </w:rPr>
        <w:t>Limbi străine</w:t>
      </w:r>
    </w:p>
    <w:p w14:paraId="2E04F872" w14:textId="77777777" w:rsidR="00AE14E9" w:rsidRDefault="00AE14E9">
      <w:pPr>
        <w:spacing w:before="60"/>
      </w:pPr>
    </w:p>
    <w:tbl>
      <w:tblPr>
        <w:tblW w:w="9360"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40"/>
        <w:gridCol w:w="1584"/>
        <w:gridCol w:w="1584"/>
        <w:gridCol w:w="1584"/>
        <w:gridCol w:w="1584"/>
        <w:gridCol w:w="1584"/>
      </w:tblGrid>
      <w:tr w:rsidR="00AE14E9" w14:paraId="37953820" w14:textId="77777777">
        <w:tc>
          <w:tcPr>
            <w:tcW w:w="1440" w:type="dxa"/>
            <w:tcBorders>
              <w:top w:val="none" w:sz="0" w:space="0" w:color="FFFFFF"/>
              <w:left w:val="none" w:sz="0" w:space="0" w:color="FFFFFF"/>
              <w:bottom w:val="none" w:sz="0" w:space="0" w:color="FFFFFF"/>
              <w:right w:val="none" w:sz="0" w:space="0" w:color="FFFFFF"/>
            </w:tcBorders>
            <w:shd w:val="clear" w:color="auto" w:fill="EBF1F8"/>
            <w:tcMar>
              <w:top w:w="60" w:type="dxa"/>
              <w:left w:w="80" w:type="dxa"/>
              <w:bottom w:w="60" w:type="dxa"/>
              <w:right w:w="80" w:type="dxa"/>
            </w:tcMar>
          </w:tcPr>
          <w:p w14:paraId="0FBBFCD7" w14:textId="77777777" w:rsidR="00AE14E9" w:rsidRDefault="00AE14E9"/>
        </w:tc>
        <w:tc>
          <w:tcPr>
            <w:tcW w:w="1584" w:type="dxa"/>
            <w:tcBorders>
              <w:top w:val="none" w:sz="0" w:space="0" w:color="FFFFFF"/>
              <w:left w:val="none" w:sz="0" w:space="0" w:color="FFFFFF"/>
              <w:bottom w:val="none" w:sz="0" w:space="0" w:color="FFFFFF"/>
              <w:right w:val="none" w:sz="0" w:space="0" w:color="FFFFFF"/>
            </w:tcBorders>
            <w:shd w:val="clear" w:color="auto" w:fill="EBF1F8"/>
            <w:tcMar>
              <w:top w:w="60" w:type="dxa"/>
              <w:left w:w="80" w:type="dxa"/>
              <w:bottom w:w="60" w:type="dxa"/>
              <w:right w:w="80" w:type="dxa"/>
            </w:tcMar>
          </w:tcPr>
          <w:p w14:paraId="39DF8C43" w14:textId="77777777" w:rsidR="00AE14E9" w:rsidRDefault="00BA1471">
            <w:pPr>
              <w:jc w:val="center"/>
            </w:pPr>
            <w:r>
              <w:rPr>
                <w:rFonts w:ascii="Arial" w:eastAsia="Arial" w:hAnsi="Arial" w:cs="Arial"/>
                <w:b/>
                <w:bCs/>
                <w:sz w:val="17"/>
                <w:szCs w:val="17"/>
              </w:rPr>
              <w:t>ÎNȚELEGERE</w:t>
            </w:r>
          </w:p>
        </w:tc>
        <w:tc>
          <w:tcPr>
            <w:tcW w:w="1584" w:type="dxa"/>
            <w:tcBorders>
              <w:top w:val="none" w:sz="0" w:space="0" w:color="FFFFFF"/>
              <w:left w:val="none" w:sz="0" w:space="0" w:color="FFFFFF"/>
              <w:bottom w:val="none" w:sz="0" w:space="0" w:color="FFFFFF"/>
              <w:right w:val="none" w:sz="0" w:space="0" w:color="FFFFFF"/>
            </w:tcBorders>
            <w:shd w:val="clear" w:color="auto" w:fill="EBF1F8"/>
            <w:tcMar>
              <w:top w:w="60" w:type="dxa"/>
              <w:left w:w="80" w:type="dxa"/>
              <w:bottom w:w="60" w:type="dxa"/>
              <w:right w:w="80" w:type="dxa"/>
            </w:tcMar>
          </w:tcPr>
          <w:p w14:paraId="5014BD1B" w14:textId="77777777" w:rsidR="00AE14E9" w:rsidRDefault="00AE14E9">
            <w:pPr>
              <w:jc w:val="center"/>
            </w:pPr>
          </w:p>
        </w:tc>
        <w:tc>
          <w:tcPr>
            <w:tcW w:w="1584" w:type="dxa"/>
            <w:tcBorders>
              <w:top w:val="none" w:sz="0" w:space="0" w:color="FFFFFF"/>
              <w:left w:val="none" w:sz="0" w:space="0" w:color="FFFFFF"/>
              <w:bottom w:val="none" w:sz="0" w:space="0" w:color="FFFFFF"/>
              <w:right w:val="none" w:sz="0" w:space="0" w:color="FFFFFF"/>
            </w:tcBorders>
            <w:shd w:val="clear" w:color="auto" w:fill="EBF1F8"/>
            <w:tcMar>
              <w:top w:w="60" w:type="dxa"/>
              <w:left w:w="80" w:type="dxa"/>
              <w:bottom w:w="60" w:type="dxa"/>
              <w:right w:w="80" w:type="dxa"/>
            </w:tcMar>
          </w:tcPr>
          <w:p w14:paraId="46A79BAF" w14:textId="77777777" w:rsidR="00AE14E9" w:rsidRDefault="00BA1471">
            <w:pPr>
              <w:jc w:val="center"/>
            </w:pPr>
            <w:r>
              <w:rPr>
                <w:rFonts w:ascii="Arial" w:eastAsia="Arial" w:hAnsi="Arial" w:cs="Arial"/>
                <w:b/>
                <w:bCs/>
                <w:sz w:val="17"/>
                <w:szCs w:val="17"/>
              </w:rPr>
              <w:t>VORBIRE</w:t>
            </w:r>
          </w:p>
        </w:tc>
        <w:tc>
          <w:tcPr>
            <w:tcW w:w="1584" w:type="dxa"/>
            <w:tcBorders>
              <w:top w:val="none" w:sz="0" w:space="0" w:color="FFFFFF"/>
              <w:left w:val="none" w:sz="0" w:space="0" w:color="FFFFFF"/>
              <w:bottom w:val="none" w:sz="0" w:space="0" w:color="FFFFFF"/>
              <w:right w:val="none" w:sz="0" w:space="0" w:color="FFFFFF"/>
            </w:tcBorders>
            <w:shd w:val="clear" w:color="auto" w:fill="EBF1F8"/>
            <w:tcMar>
              <w:top w:w="60" w:type="dxa"/>
              <w:left w:w="80" w:type="dxa"/>
              <w:bottom w:w="60" w:type="dxa"/>
              <w:right w:w="80" w:type="dxa"/>
            </w:tcMar>
          </w:tcPr>
          <w:p w14:paraId="270C717A" w14:textId="77777777" w:rsidR="00AE14E9" w:rsidRDefault="00AE14E9">
            <w:pPr>
              <w:jc w:val="center"/>
            </w:pPr>
          </w:p>
        </w:tc>
        <w:tc>
          <w:tcPr>
            <w:tcW w:w="1584" w:type="dxa"/>
            <w:tcBorders>
              <w:top w:val="none" w:sz="0" w:space="0" w:color="FFFFFF"/>
              <w:left w:val="none" w:sz="0" w:space="0" w:color="FFFFFF"/>
              <w:bottom w:val="none" w:sz="0" w:space="0" w:color="FFFFFF"/>
              <w:right w:val="none" w:sz="0" w:space="0" w:color="FFFFFF"/>
            </w:tcBorders>
            <w:shd w:val="clear" w:color="auto" w:fill="EBF1F8"/>
            <w:tcMar>
              <w:top w:w="60" w:type="dxa"/>
              <w:left w:w="80" w:type="dxa"/>
              <w:bottom w:w="60" w:type="dxa"/>
              <w:right w:w="80" w:type="dxa"/>
            </w:tcMar>
          </w:tcPr>
          <w:p w14:paraId="236A1430" w14:textId="77777777" w:rsidR="00AE14E9" w:rsidRDefault="00BA1471">
            <w:pPr>
              <w:jc w:val="center"/>
            </w:pPr>
            <w:r>
              <w:rPr>
                <w:rFonts w:ascii="Arial" w:eastAsia="Arial" w:hAnsi="Arial" w:cs="Arial"/>
                <w:b/>
                <w:bCs/>
                <w:sz w:val="17"/>
                <w:szCs w:val="17"/>
              </w:rPr>
              <w:t>SCRIERE</w:t>
            </w:r>
          </w:p>
        </w:tc>
      </w:tr>
      <w:tr w:rsidR="00AE14E9" w14:paraId="653ADDFD" w14:textId="77777777">
        <w:tc>
          <w:tcPr>
            <w:tcW w:w="1440" w:type="dxa"/>
            <w:tcBorders>
              <w:top w:val="none" w:sz="0" w:space="0" w:color="FFFFFF"/>
              <w:left w:val="none" w:sz="0" w:space="0" w:color="FFFFFF"/>
              <w:bottom w:val="single" w:sz="4" w:space="0" w:color="003399"/>
              <w:right w:val="none" w:sz="0" w:space="0" w:color="FFFFFF"/>
            </w:tcBorders>
            <w:tcMar>
              <w:top w:w="40" w:type="dxa"/>
              <w:left w:w="80" w:type="dxa"/>
              <w:bottom w:w="40" w:type="dxa"/>
              <w:right w:w="80" w:type="dxa"/>
            </w:tcMar>
          </w:tcPr>
          <w:p w14:paraId="7296F06C" w14:textId="77777777" w:rsidR="00AE14E9" w:rsidRDefault="00AE14E9"/>
        </w:tc>
        <w:tc>
          <w:tcPr>
            <w:tcW w:w="1584" w:type="dxa"/>
            <w:tcBorders>
              <w:top w:val="none" w:sz="0" w:space="0" w:color="FFFFFF"/>
              <w:left w:val="none" w:sz="0" w:space="0" w:color="FFFFFF"/>
              <w:bottom w:val="single" w:sz="4" w:space="0" w:color="003399"/>
              <w:right w:val="none" w:sz="0" w:space="0" w:color="FFFFFF"/>
            </w:tcBorders>
            <w:tcMar>
              <w:top w:w="40" w:type="dxa"/>
              <w:left w:w="80" w:type="dxa"/>
              <w:bottom w:w="40" w:type="dxa"/>
              <w:right w:w="80" w:type="dxa"/>
            </w:tcMar>
          </w:tcPr>
          <w:p w14:paraId="23926668" w14:textId="77777777" w:rsidR="00AE14E9" w:rsidRDefault="00BA1471">
            <w:pPr>
              <w:jc w:val="center"/>
            </w:pPr>
            <w:r>
              <w:rPr>
                <w:rFonts w:ascii="Arial" w:eastAsia="Arial" w:hAnsi="Arial" w:cs="Arial"/>
                <w:i/>
                <w:iCs/>
                <w:sz w:val="16"/>
                <w:szCs w:val="16"/>
              </w:rPr>
              <w:t>Ascultare</w:t>
            </w:r>
          </w:p>
        </w:tc>
        <w:tc>
          <w:tcPr>
            <w:tcW w:w="1584" w:type="dxa"/>
            <w:tcBorders>
              <w:top w:val="none" w:sz="0" w:space="0" w:color="FFFFFF"/>
              <w:left w:val="none" w:sz="0" w:space="0" w:color="FFFFFF"/>
              <w:bottom w:val="single" w:sz="4" w:space="0" w:color="003399"/>
              <w:right w:val="none" w:sz="0" w:space="0" w:color="FFFFFF"/>
            </w:tcBorders>
            <w:tcMar>
              <w:top w:w="40" w:type="dxa"/>
              <w:left w:w="80" w:type="dxa"/>
              <w:bottom w:w="40" w:type="dxa"/>
              <w:right w:w="80" w:type="dxa"/>
            </w:tcMar>
          </w:tcPr>
          <w:p w14:paraId="426F7155" w14:textId="77777777" w:rsidR="00AE14E9" w:rsidRDefault="00BA1471">
            <w:pPr>
              <w:jc w:val="center"/>
            </w:pPr>
            <w:r>
              <w:rPr>
                <w:rFonts w:ascii="Arial" w:eastAsia="Arial" w:hAnsi="Arial" w:cs="Arial"/>
                <w:i/>
                <w:iCs/>
                <w:sz w:val="16"/>
                <w:szCs w:val="16"/>
              </w:rPr>
              <w:t>Citire</w:t>
            </w:r>
          </w:p>
        </w:tc>
        <w:tc>
          <w:tcPr>
            <w:tcW w:w="1584" w:type="dxa"/>
            <w:tcBorders>
              <w:top w:val="none" w:sz="0" w:space="0" w:color="FFFFFF"/>
              <w:left w:val="none" w:sz="0" w:space="0" w:color="FFFFFF"/>
              <w:bottom w:val="single" w:sz="4" w:space="0" w:color="003399"/>
              <w:right w:val="none" w:sz="0" w:space="0" w:color="FFFFFF"/>
            </w:tcBorders>
            <w:tcMar>
              <w:top w:w="40" w:type="dxa"/>
              <w:left w:w="80" w:type="dxa"/>
              <w:bottom w:w="40" w:type="dxa"/>
              <w:right w:w="80" w:type="dxa"/>
            </w:tcMar>
          </w:tcPr>
          <w:p w14:paraId="485BA3A5" w14:textId="77777777" w:rsidR="00AE14E9" w:rsidRDefault="00BA1471">
            <w:pPr>
              <w:jc w:val="center"/>
            </w:pPr>
            <w:r>
              <w:rPr>
                <w:rFonts w:ascii="Arial" w:eastAsia="Arial" w:hAnsi="Arial" w:cs="Arial"/>
                <w:i/>
                <w:iCs/>
                <w:sz w:val="16"/>
                <w:szCs w:val="16"/>
              </w:rPr>
              <w:t>Participare la conversație</w:t>
            </w:r>
          </w:p>
        </w:tc>
        <w:tc>
          <w:tcPr>
            <w:tcW w:w="1584" w:type="dxa"/>
            <w:tcBorders>
              <w:top w:val="none" w:sz="0" w:space="0" w:color="FFFFFF"/>
              <w:left w:val="none" w:sz="0" w:space="0" w:color="FFFFFF"/>
              <w:bottom w:val="single" w:sz="4" w:space="0" w:color="003399"/>
              <w:right w:val="none" w:sz="0" w:space="0" w:color="FFFFFF"/>
            </w:tcBorders>
            <w:tcMar>
              <w:top w:w="40" w:type="dxa"/>
              <w:left w:w="80" w:type="dxa"/>
              <w:bottom w:w="40" w:type="dxa"/>
              <w:right w:w="80" w:type="dxa"/>
            </w:tcMar>
          </w:tcPr>
          <w:p w14:paraId="7EA1BBA4" w14:textId="77777777" w:rsidR="00AE14E9" w:rsidRDefault="00BA1471">
            <w:pPr>
              <w:jc w:val="center"/>
            </w:pPr>
            <w:r>
              <w:rPr>
                <w:rFonts w:ascii="Arial" w:eastAsia="Arial" w:hAnsi="Arial" w:cs="Arial"/>
                <w:i/>
                <w:iCs/>
                <w:sz w:val="16"/>
                <w:szCs w:val="16"/>
              </w:rPr>
              <w:t>Discurs oral</w:t>
            </w:r>
          </w:p>
        </w:tc>
        <w:tc>
          <w:tcPr>
            <w:tcW w:w="1584" w:type="dxa"/>
            <w:tcBorders>
              <w:top w:val="none" w:sz="0" w:space="0" w:color="FFFFFF"/>
              <w:left w:val="none" w:sz="0" w:space="0" w:color="FFFFFF"/>
              <w:bottom w:val="single" w:sz="4" w:space="0" w:color="003399"/>
              <w:right w:val="none" w:sz="0" w:space="0" w:color="FFFFFF"/>
            </w:tcBorders>
            <w:tcMar>
              <w:top w:w="40" w:type="dxa"/>
              <w:left w:w="80" w:type="dxa"/>
              <w:bottom w:w="40" w:type="dxa"/>
              <w:right w:w="80" w:type="dxa"/>
            </w:tcMar>
          </w:tcPr>
          <w:p w14:paraId="1DA88674" w14:textId="77777777" w:rsidR="00AE14E9" w:rsidRDefault="00BA1471">
            <w:pPr>
              <w:jc w:val="center"/>
            </w:pPr>
            <w:r>
              <w:rPr>
                <w:rFonts w:ascii="Arial" w:eastAsia="Arial" w:hAnsi="Arial" w:cs="Arial"/>
                <w:i/>
                <w:iCs/>
                <w:sz w:val="16"/>
                <w:szCs w:val="16"/>
              </w:rPr>
              <w:t>Exprimare scrisă</w:t>
            </w:r>
          </w:p>
        </w:tc>
      </w:tr>
      <w:tr w:rsidR="00AE14E9" w14:paraId="1CADC04D" w14:textId="77777777">
        <w:tc>
          <w:tcPr>
            <w:tcW w:w="144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E63288D" w14:textId="77777777" w:rsidR="00AE14E9" w:rsidRDefault="00BA1471">
            <w:r>
              <w:rPr>
                <w:rFonts w:ascii="Arial" w:eastAsia="Arial" w:hAnsi="Arial" w:cs="Arial"/>
                <w:b/>
                <w:bCs/>
                <w:sz w:val="19"/>
                <w:szCs w:val="19"/>
              </w:rPr>
              <w:t>Română</w:t>
            </w:r>
          </w:p>
        </w:tc>
        <w:tc>
          <w:tcPr>
            <w:tcW w:w="1584"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D176371" w14:textId="77777777" w:rsidR="00AE14E9" w:rsidRDefault="00BA1471">
            <w:pPr>
              <w:jc w:val="center"/>
            </w:pPr>
            <w:r>
              <w:rPr>
                <w:rFonts w:ascii="Arial" w:eastAsia="Arial" w:hAnsi="Arial" w:cs="Arial"/>
                <w:i/>
                <w:iCs/>
                <w:sz w:val="18"/>
                <w:szCs w:val="18"/>
              </w:rPr>
              <w:t>Limbă maternă</w:t>
            </w:r>
          </w:p>
        </w:tc>
        <w:tc>
          <w:tcPr>
            <w:tcW w:w="1584"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654EC50F" w14:textId="77777777" w:rsidR="00AE14E9" w:rsidRDefault="00BA1471">
            <w:pPr>
              <w:jc w:val="center"/>
            </w:pPr>
            <w:r>
              <w:rPr>
                <w:rFonts w:ascii="Arial" w:eastAsia="Arial" w:hAnsi="Arial" w:cs="Arial"/>
                <w:i/>
                <w:iCs/>
                <w:sz w:val="18"/>
                <w:szCs w:val="18"/>
              </w:rPr>
              <w:t>Limbă maternă</w:t>
            </w:r>
          </w:p>
        </w:tc>
        <w:tc>
          <w:tcPr>
            <w:tcW w:w="1584"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9EAB694" w14:textId="77777777" w:rsidR="00AE14E9" w:rsidRDefault="00BA1471">
            <w:pPr>
              <w:jc w:val="center"/>
            </w:pPr>
            <w:r>
              <w:rPr>
                <w:rFonts w:ascii="Arial" w:eastAsia="Arial" w:hAnsi="Arial" w:cs="Arial"/>
                <w:i/>
                <w:iCs/>
                <w:sz w:val="18"/>
                <w:szCs w:val="18"/>
              </w:rPr>
              <w:t>Limbă maternă</w:t>
            </w:r>
          </w:p>
        </w:tc>
        <w:tc>
          <w:tcPr>
            <w:tcW w:w="1584"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C6B1558" w14:textId="77777777" w:rsidR="00AE14E9" w:rsidRDefault="00BA1471">
            <w:pPr>
              <w:jc w:val="center"/>
            </w:pPr>
            <w:r>
              <w:rPr>
                <w:rFonts w:ascii="Arial" w:eastAsia="Arial" w:hAnsi="Arial" w:cs="Arial"/>
                <w:i/>
                <w:iCs/>
                <w:sz w:val="18"/>
                <w:szCs w:val="18"/>
              </w:rPr>
              <w:t>Limbă maternă</w:t>
            </w:r>
          </w:p>
        </w:tc>
        <w:tc>
          <w:tcPr>
            <w:tcW w:w="1584"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31EB90C" w14:textId="77777777" w:rsidR="00AE14E9" w:rsidRDefault="00BA1471">
            <w:pPr>
              <w:jc w:val="center"/>
            </w:pPr>
            <w:r>
              <w:rPr>
                <w:rFonts w:ascii="Arial" w:eastAsia="Arial" w:hAnsi="Arial" w:cs="Arial"/>
                <w:i/>
                <w:iCs/>
                <w:sz w:val="18"/>
                <w:szCs w:val="18"/>
              </w:rPr>
              <w:t>Limbă maternă</w:t>
            </w:r>
          </w:p>
        </w:tc>
      </w:tr>
      <w:tr w:rsidR="00AE14E9" w14:paraId="5C5F4624" w14:textId="77777777">
        <w:tc>
          <w:tcPr>
            <w:tcW w:w="144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0B713A0" w14:textId="77777777" w:rsidR="00AE14E9" w:rsidRDefault="00BA1471">
            <w:r>
              <w:rPr>
                <w:rFonts w:ascii="Arial" w:eastAsia="Arial" w:hAnsi="Arial" w:cs="Arial"/>
                <w:b/>
                <w:bCs/>
                <w:sz w:val="19"/>
                <w:szCs w:val="19"/>
              </w:rPr>
              <w:t>Engleză</w:t>
            </w:r>
          </w:p>
        </w:tc>
        <w:tc>
          <w:tcPr>
            <w:tcW w:w="1584"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A78D02C" w14:textId="77777777" w:rsidR="00AE14E9" w:rsidRDefault="00BA1471">
            <w:pPr>
              <w:jc w:val="center"/>
            </w:pPr>
            <w:r>
              <w:rPr>
                <w:rFonts w:ascii="Arial" w:eastAsia="Arial" w:hAnsi="Arial" w:cs="Arial"/>
                <w:sz w:val="18"/>
                <w:szCs w:val="18"/>
              </w:rPr>
              <w:t>B2</w:t>
            </w:r>
          </w:p>
        </w:tc>
        <w:tc>
          <w:tcPr>
            <w:tcW w:w="1584"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7D6E2CE" w14:textId="77777777" w:rsidR="00AE14E9" w:rsidRDefault="00BA1471">
            <w:pPr>
              <w:jc w:val="center"/>
            </w:pPr>
            <w:r>
              <w:rPr>
                <w:rFonts w:ascii="Arial" w:eastAsia="Arial" w:hAnsi="Arial" w:cs="Arial"/>
                <w:sz w:val="18"/>
                <w:szCs w:val="18"/>
              </w:rPr>
              <w:t>B2</w:t>
            </w:r>
          </w:p>
        </w:tc>
        <w:tc>
          <w:tcPr>
            <w:tcW w:w="1584"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9C7C2DD" w14:textId="77777777" w:rsidR="00AE14E9" w:rsidRDefault="00BA1471">
            <w:pPr>
              <w:jc w:val="center"/>
            </w:pPr>
            <w:r>
              <w:rPr>
                <w:rFonts w:ascii="Arial" w:eastAsia="Arial" w:hAnsi="Arial" w:cs="Arial"/>
                <w:sz w:val="18"/>
                <w:szCs w:val="18"/>
              </w:rPr>
              <w:t>B2</w:t>
            </w:r>
          </w:p>
        </w:tc>
        <w:tc>
          <w:tcPr>
            <w:tcW w:w="1584"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F8B83CE" w14:textId="77777777" w:rsidR="00AE14E9" w:rsidRDefault="00BA1471">
            <w:pPr>
              <w:jc w:val="center"/>
            </w:pPr>
            <w:r>
              <w:rPr>
                <w:rFonts w:ascii="Arial" w:eastAsia="Arial" w:hAnsi="Arial" w:cs="Arial"/>
                <w:sz w:val="18"/>
                <w:szCs w:val="18"/>
              </w:rPr>
              <w:t>B2</w:t>
            </w:r>
          </w:p>
        </w:tc>
        <w:tc>
          <w:tcPr>
            <w:tcW w:w="1584"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264C68DA" w14:textId="77777777" w:rsidR="00AE14E9" w:rsidRDefault="00BA1471">
            <w:pPr>
              <w:jc w:val="center"/>
            </w:pPr>
            <w:r>
              <w:rPr>
                <w:rFonts w:ascii="Arial" w:eastAsia="Arial" w:hAnsi="Arial" w:cs="Arial"/>
                <w:sz w:val="18"/>
                <w:szCs w:val="18"/>
              </w:rPr>
              <w:t>B2</w:t>
            </w:r>
          </w:p>
        </w:tc>
      </w:tr>
      <w:tr w:rsidR="00AE14E9" w14:paraId="526AE109" w14:textId="77777777">
        <w:tc>
          <w:tcPr>
            <w:tcW w:w="1440"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4E12AFD7" w14:textId="77777777" w:rsidR="00AE14E9" w:rsidRDefault="00BA1471">
            <w:r>
              <w:rPr>
                <w:rFonts w:ascii="Arial" w:eastAsia="Arial" w:hAnsi="Arial" w:cs="Arial"/>
                <w:b/>
                <w:bCs/>
                <w:sz w:val="19"/>
                <w:szCs w:val="19"/>
              </w:rPr>
              <w:t>Franceză</w:t>
            </w:r>
          </w:p>
        </w:tc>
        <w:tc>
          <w:tcPr>
            <w:tcW w:w="1584"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3DF0A000" w14:textId="77777777" w:rsidR="00AE14E9" w:rsidRDefault="00BA1471">
            <w:pPr>
              <w:jc w:val="center"/>
            </w:pPr>
            <w:r>
              <w:rPr>
                <w:rFonts w:ascii="Arial" w:eastAsia="Arial" w:hAnsi="Arial" w:cs="Arial"/>
                <w:sz w:val="18"/>
                <w:szCs w:val="18"/>
              </w:rPr>
              <w:t>B2</w:t>
            </w:r>
          </w:p>
        </w:tc>
        <w:tc>
          <w:tcPr>
            <w:tcW w:w="1584"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5336F21F" w14:textId="77777777" w:rsidR="00AE14E9" w:rsidRDefault="00BA1471">
            <w:pPr>
              <w:jc w:val="center"/>
            </w:pPr>
            <w:r>
              <w:rPr>
                <w:rFonts w:ascii="Arial" w:eastAsia="Arial" w:hAnsi="Arial" w:cs="Arial"/>
                <w:sz w:val="18"/>
                <w:szCs w:val="18"/>
              </w:rPr>
              <w:t>B2</w:t>
            </w:r>
          </w:p>
        </w:tc>
        <w:tc>
          <w:tcPr>
            <w:tcW w:w="1584"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DF36C18" w14:textId="77777777" w:rsidR="00AE14E9" w:rsidRDefault="00BA1471">
            <w:pPr>
              <w:jc w:val="center"/>
            </w:pPr>
            <w:r>
              <w:rPr>
                <w:rFonts w:ascii="Arial" w:eastAsia="Arial" w:hAnsi="Arial" w:cs="Arial"/>
                <w:sz w:val="18"/>
                <w:szCs w:val="18"/>
              </w:rPr>
              <w:t>B2</w:t>
            </w:r>
          </w:p>
        </w:tc>
        <w:tc>
          <w:tcPr>
            <w:tcW w:w="1584"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7E86D6F1" w14:textId="77777777" w:rsidR="00AE14E9" w:rsidRDefault="00BA1471">
            <w:pPr>
              <w:jc w:val="center"/>
            </w:pPr>
            <w:r>
              <w:rPr>
                <w:rFonts w:ascii="Arial" w:eastAsia="Arial" w:hAnsi="Arial" w:cs="Arial"/>
                <w:sz w:val="18"/>
                <w:szCs w:val="18"/>
              </w:rPr>
              <w:t>B2</w:t>
            </w:r>
          </w:p>
        </w:tc>
        <w:tc>
          <w:tcPr>
            <w:tcW w:w="1584" w:type="dxa"/>
            <w:tcBorders>
              <w:top w:val="none" w:sz="0" w:space="0" w:color="FFFFFF"/>
              <w:left w:val="none" w:sz="0" w:space="0" w:color="FFFFFF"/>
              <w:bottom w:val="none" w:sz="0" w:space="0" w:color="FFFFFF"/>
              <w:right w:val="none" w:sz="0" w:space="0" w:color="FFFFFF"/>
            </w:tcBorders>
            <w:tcMar>
              <w:top w:w="60" w:type="dxa"/>
              <w:left w:w="80" w:type="dxa"/>
              <w:bottom w:w="60" w:type="dxa"/>
              <w:right w:w="80" w:type="dxa"/>
            </w:tcMar>
          </w:tcPr>
          <w:p w14:paraId="15F0D011" w14:textId="77777777" w:rsidR="00AE14E9" w:rsidRDefault="00BA1471">
            <w:pPr>
              <w:jc w:val="center"/>
            </w:pPr>
            <w:r>
              <w:rPr>
                <w:rFonts w:ascii="Arial" w:eastAsia="Arial" w:hAnsi="Arial" w:cs="Arial"/>
                <w:sz w:val="18"/>
                <w:szCs w:val="18"/>
              </w:rPr>
              <w:t>B2</w:t>
            </w:r>
          </w:p>
        </w:tc>
      </w:tr>
    </w:tbl>
    <w:p w14:paraId="6947ED56" w14:textId="77777777" w:rsidR="00AE14E9" w:rsidRDefault="00AE14E9">
      <w:pPr>
        <w:spacing w:before="60"/>
      </w:pPr>
    </w:p>
    <w:p w14:paraId="0768D8A2" w14:textId="77777777" w:rsidR="00AE14E9" w:rsidRDefault="00BA1471">
      <w:r>
        <w:rPr>
          <w:rFonts w:ascii="Arial" w:eastAsia="Arial" w:hAnsi="Arial" w:cs="Arial"/>
          <w:i/>
          <w:iCs/>
          <w:color w:val="666666"/>
          <w:sz w:val="16"/>
          <w:szCs w:val="16"/>
        </w:rPr>
        <w:t xml:space="preserve">Niveluri: A1/A2 – elementar; B1/B2 – </w:t>
      </w:r>
      <w:r>
        <w:rPr>
          <w:rFonts w:ascii="Arial" w:eastAsia="Arial" w:hAnsi="Arial" w:cs="Arial"/>
          <w:i/>
          <w:iCs/>
          <w:color w:val="666666"/>
          <w:sz w:val="16"/>
          <w:szCs w:val="16"/>
        </w:rPr>
        <w:t>independent; C1/C2 – experimentat  |  Cadrul European Comun de Referință pentru Limbi (CECRL)</w:t>
      </w:r>
    </w:p>
    <w:p w14:paraId="5C4B70E7" w14:textId="77777777" w:rsidR="00AE14E9" w:rsidRDefault="00AE14E9">
      <w:pPr>
        <w:spacing w:before="100"/>
      </w:pPr>
    </w:p>
    <w:p w14:paraId="553734A5" w14:textId="77777777" w:rsidR="00AE14E9" w:rsidRDefault="00BA1471">
      <w:r>
        <w:rPr>
          <w:rFonts w:ascii="Arial" w:eastAsia="Arial" w:hAnsi="Arial" w:cs="Arial"/>
          <w:b/>
          <w:bCs/>
          <w:color w:val="003399"/>
        </w:rPr>
        <w:t>Competențe digitale</w:t>
      </w:r>
    </w:p>
    <w:p w14:paraId="41EB78E8" w14:textId="77777777" w:rsidR="00AE14E9" w:rsidRDefault="00AE14E9">
      <w:pPr>
        <w:spacing w:before="40"/>
      </w:pPr>
    </w:p>
    <w:p w14:paraId="018A2364" w14:textId="77777777" w:rsidR="00AE14E9" w:rsidRDefault="00BA1471">
      <w:pPr>
        <w:spacing w:before="40"/>
      </w:pPr>
      <w:r>
        <w:rPr>
          <w:rFonts w:ascii="Arial" w:eastAsia="Arial" w:hAnsi="Arial" w:cs="Arial"/>
          <w:sz w:val="19"/>
          <w:szCs w:val="19"/>
        </w:rPr>
        <w:t>Microsoft Office (utilizator curent)</w:t>
      </w:r>
    </w:p>
    <w:p w14:paraId="2B7C7544" w14:textId="77777777" w:rsidR="00AE14E9" w:rsidRDefault="00AE14E9">
      <w:pPr>
        <w:spacing w:before="1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E14E9" w14:paraId="2F2F3B04" w14:textId="77777777">
        <w:tc>
          <w:tcPr>
            <w:tcW w:w="9360" w:type="dxa"/>
            <w:tcBorders>
              <w:top w:val="none" w:sz="0" w:space="0" w:color="FFFFFF"/>
              <w:left w:val="none" w:sz="0" w:space="0" w:color="FFFFFF"/>
              <w:bottom w:val="none" w:sz="0" w:space="0" w:color="FFFFFF"/>
              <w:right w:val="none" w:sz="0" w:space="0" w:color="FFFFFF"/>
            </w:tcBorders>
            <w:shd w:val="clear" w:color="auto" w:fill="003399"/>
            <w:tcMar>
              <w:top w:w="70" w:type="dxa"/>
              <w:left w:w="140" w:type="dxa"/>
              <w:bottom w:w="70" w:type="dxa"/>
              <w:right w:w="140" w:type="dxa"/>
            </w:tcMar>
          </w:tcPr>
          <w:p w14:paraId="60AB858C" w14:textId="77777777" w:rsidR="00AE14E9" w:rsidRDefault="00BA1471">
            <w:r>
              <w:rPr>
                <w:rFonts w:ascii="Arial" w:eastAsia="Arial" w:hAnsi="Arial" w:cs="Arial"/>
                <w:b/>
                <w:bCs/>
                <w:color w:val="FFFFFF"/>
                <w:sz w:val="22"/>
                <w:szCs w:val="22"/>
              </w:rPr>
              <w:t>LISTA DE LUCRĂRI ȘTIINȚIFICE</w:t>
            </w:r>
          </w:p>
        </w:tc>
      </w:tr>
    </w:tbl>
    <w:p w14:paraId="41F7E0DE" w14:textId="77777777" w:rsidR="00AE14E9" w:rsidRDefault="00AE14E9">
      <w:pPr>
        <w:spacing w:before="80"/>
      </w:pPr>
    </w:p>
    <w:p w14:paraId="5D7A8B60" w14:textId="77777777" w:rsidR="00AE14E9" w:rsidRDefault="00BA1471">
      <w:pPr>
        <w:spacing w:before="60" w:after="60"/>
      </w:pPr>
      <w:r>
        <w:rPr>
          <w:rFonts w:ascii="Arial" w:eastAsia="Arial" w:hAnsi="Arial" w:cs="Arial"/>
          <w:b/>
          <w:bCs/>
          <w:color w:val="003399"/>
          <w:sz w:val="18"/>
          <w:szCs w:val="18"/>
        </w:rPr>
        <w:t xml:space="preserve">1. </w:t>
      </w:r>
      <w:r>
        <w:rPr>
          <w:rFonts w:ascii="Arial" w:eastAsia="Arial" w:hAnsi="Arial" w:cs="Arial"/>
          <w:sz w:val="18"/>
          <w:szCs w:val="18"/>
        </w:rPr>
        <w:t xml:space="preserve">Schuldesz AC, Tudor R, Cornea A, Geni DN, Lata IN, Simu M. </w:t>
      </w:r>
      <w:r>
        <w:rPr>
          <w:rFonts w:ascii="Arial" w:eastAsia="Arial" w:hAnsi="Arial" w:cs="Arial"/>
          <w:sz w:val="18"/>
          <w:szCs w:val="18"/>
        </w:rPr>
        <w:t>Effectiveness of Ocrelizumab on Disease Progression and Disability Status in Multiple Sclerosis Patients: A Two-Year Prospective Cohort Study. J Clin Med. 2025 Jan 16;14(2):553. doi: 10.3390/jcm14020553. PMID: 39860559; PMCID: PMC11766240.</w:t>
      </w:r>
    </w:p>
    <w:p w14:paraId="4141BCD7" w14:textId="77777777" w:rsidR="00AE14E9" w:rsidRDefault="00BA1471">
      <w:pPr>
        <w:spacing w:before="60" w:after="60"/>
      </w:pPr>
      <w:r>
        <w:rPr>
          <w:rFonts w:ascii="Arial" w:eastAsia="Arial" w:hAnsi="Arial" w:cs="Arial"/>
          <w:b/>
          <w:bCs/>
          <w:color w:val="003399"/>
          <w:sz w:val="18"/>
          <w:szCs w:val="18"/>
        </w:rPr>
        <w:t xml:space="preserve">2. </w:t>
      </w:r>
      <w:r>
        <w:rPr>
          <w:rFonts w:ascii="Arial" w:eastAsia="Arial" w:hAnsi="Arial" w:cs="Arial"/>
          <w:sz w:val="18"/>
          <w:szCs w:val="18"/>
        </w:rPr>
        <w:t>Schuldesz AC,</w:t>
      </w:r>
      <w:r>
        <w:rPr>
          <w:rFonts w:ascii="Arial" w:eastAsia="Arial" w:hAnsi="Arial" w:cs="Arial"/>
          <w:sz w:val="18"/>
          <w:szCs w:val="18"/>
        </w:rPr>
        <w:t xml:space="preserve"> Tudor R, Nandarge PS, Elagez A, Cornea A, Ion R, Bratosin F, Prodan M, Simu M. The Effects of Epigallocatechin-3-Gallate Nutritional Supplementation in the Management of Multiple Sclerosis: A Systematic Review of Clinical Trials. Nutrients. 2024 Aug 15;16</w:t>
      </w:r>
      <w:r>
        <w:rPr>
          <w:rFonts w:ascii="Arial" w:eastAsia="Arial" w:hAnsi="Arial" w:cs="Arial"/>
          <w:sz w:val="18"/>
          <w:szCs w:val="18"/>
        </w:rPr>
        <w:t>(16):2723. doi: 10.3390/nu16162723. PMID: 39203859; PMCID: PMC11356828.</w:t>
      </w:r>
    </w:p>
    <w:p w14:paraId="11F64B37" w14:textId="77777777" w:rsidR="00AE14E9" w:rsidRDefault="00BA1471">
      <w:pPr>
        <w:spacing w:before="60" w:after="60"/>
      </w:pPr>
      <w:r>
        <w:rPr>
          <w:rFonts w:ascii="Arial" w:eastAsia="Arial" w:hAnsi="Arial" w:cs="Arial"/>
          <w:b/>
          <w:bCs/>
          <w:color w:val="003399"/>
          <w:sz w:val="18"/>
          <w:szCs w:val="18"/>
        </w:rPr>
        <w:t xml:space="preserve">3. </w:t>
      </w:r>
      <w:r>
        <w:rPr>
          <w:rFonts w:ascii="Arial" w:eastAsia="Arial" w:hAnsi="Arial" w:cs="Arial"/>
          <w:sz w:val="18"/>
          <w:szCs w:val="18"/>
        </w:rPr>
        <w:t>Bratu ML, Sandesc D, Anghel T, Dehelean L, Bondrescu M, Bratosin F, Tudor R. Quality of Life Assessment Using the WHOQOL-BREF Survey in Hospitalized Patients with Alcohol Use Disord</w:t>
      </w:r>
      <w:r>
        <w:rPr>
          <w:rFonts w:ascii="Arial" w:eastAsia="Arial" w:hAnsi="Arial" w:cs="Arial"/>
          <w:sz w:val="18"/>
          <w:szCs w:val="18"/>
        </w:rPr>
        <w:t>er from Romania. Diseases. 2024 Jul 16;12(7):158. doi: 10.3390/diseases12070158. PMID: 39057129; PMCID: PMC11276466.</w:t>
      </w:r>
    </w:p>
    <w:p w14:paraId="30B03EEB" w14:textId="77777777" w:rsidR="00AE14E9" w:rsidRDefault="00BA1471">
      <w:pPr>
        <w:spacing w:before="60" w:after="60"/>
      </w:pPr>
      <w:r>
        <w:rPr>
          <w:rFonts w:ascii="Arial" w:eastAsia="Arial" w:hAnsi="Arial" w:cs="Arial"/>
          <w:b/>
          <w:bCs/>
          <w:color w:val="003399"/>
          <w:sz w:val="18"/>
          <w:szCs w:val="18"/>
        </w:rPr>
        <w:t xml:space="preserve">4. </w:t>
      </w:r>
      <w:r>
        <w:rPr>
          <w:rFonts w:ascii="Arial" w:eastAsia="Arial" w:hAnsi="Arial" w:cs="Arial"/>
          <w:sz w:val="18"/>
          <w:szCs w:val="18"/>
        </w:rPr>
        <w:t>Schuldesz AC, Maganti RK, Tudor R, Cornea A, Prodan M, Toma AO, Fericean RM, Simu M. Impact of Ocrelizumab on Disease Progression, Memor</w:t>
      </w:r>
      <w:r>
        <w:rPr>
          <w:rFonts w:ascii="Arial" w:eastAsia="Arial" w:hAnsi="Arial" w:cs="Arial"/>
          <w:sz w:val="18"/>
          <w:szCs w:val="18"/>
        </w:rPr>
        <w:t>y Improvement, and Quality of Life in Patients with Relapsing-Remitting Multiple Sclerosis: A Longitudinal MRI and Clinical Criteria Analysis. Diseases. 2024 Jun 16;12(6):127. doi: 10.3390/diseases12060127. PMID: 38920559; PMCID: PMC11202762.</w:t>
      </w:r>
    </w:p>
    <w:p w14:paraId="746A9137" w14:textId="77777777" w:rsidR="00AE14E9" w:rsidRDefault="00BA1471">
      <w:pPr>
        <w:spacing w:before="60" w:after="60"/>
      </w:pPr>
      <w:r>
        <w:rPr>
          <w:rFonts w:ascii="Arial" w:eastAsia="Arial" w:hAnsi="Arial" w:cs="Arial"/>
          <w:b/>
          <w:bCs/>
          <w:color w:val="003399"/>
          <w:sz w:val="18"/>
          <w:szCs w:val="18"/>
        </w:rPr>
        <w:t xml:space="preserve">5. </w:t>
      </w:r>
      <w:r>
        <w:rPr>
          <w:rFonts w:ascii="Arial" w:eastAsia="Arial" w:hAnsi="Arial" w:cs="Arial"/>
          <w:sz w:val="18"/>
          <w:szCs w:val="18"/>
        </w:rPr>
        <w:t xml:space="preserve">Pantea M, </w:t>
      </w:r>
      <w:r>
        <w:rPr>
          <w:rFonts w:ascii="Arial" w:eastAsia="Arial" w:hAnsi="Arial" w:cs="Arial"/>
          <w:sz w:val="18"/>
          <w:szCs w:val="18"/>
        </w:rPr>
        <w:t>Iacob D, Bortea CI, Enatescu I, Barbos V, Prodan M, Tudor R, Cozma GV. Predictive Role of NLR, dNLR, PLR, NLPR, and Other Laboratory Markers in Diagnosing SIRS in Premature Newborns. Clin Pract. 2024 Jun 6;14(3):1065-1075. doi: 10.3390/clinpract14030084. P</w:t>
      </w:r>
      <w:r>
        <w:rPr>
          <w:rFonts w:ascii="Arial" w:eastAsia="Arial" w:hAnsi="Arial" w:cs="Arial"/>
          <w:sz w:val="18"/>
          <w:szCs w:val="18"/>
        </w:rPr>
        <w:t>MID: 38921262; PMCID: PMC11202484.</w:t>
      </w:r>
    </w:p>
    <w:p w14:paraId="3751CEA3" w14:textId="77777777" w:rsidR="00AE14E9" w:rsidRDefault="00BA1471">
      <w:pPr>
        <w:spacing w:before="60" w:after="60"/>
      </w:pPr>
      <w:r>
        <w:rPr>
          <w:rFonts w:ascii="Arial" w:eastAsia="Arial" w:hAnsi="Arial" w:cs="Arial"/>
          <w:b/>
          <w:bCs/>
          <w:color w:val="003399"/>
          <w:sz w:val="18"/>
          <w:szCs w:val="18"/>
        </w:rPr>
        <w:t xml:space="preserve">6. </w:t>
      </w:r>
      <w:r>
        <w:rPr>
          <w:rFonts w:ascii="Arial" w:eastAsia="Arial" w:hAnsi="Arial" w:cs="Arial"/>
          <w:sz w:val="18"/>
          <w:szCs w:val="18"/>
        </w:rPr>
        <w:t xml:space="preserve">Bota AV, Bogdan I, Razvan DV, Ilie AC, Tudor R, Indries MF, Csep AN, Marincu I. A Three-Year Cross-Sectional Analysis of Depression, Anxiety, and Quality of Life in Patients with Post-COVID-19 Syndrome. Int J Gen Med. </w:t>
      </w:r>
      <w:r>
        <w:rPr>
          <w:rFonts w:ascii="Arial" w:eastAsia="Arial" w:hAnsi="Arial" w:cs="Arial"/>
          <w:sz w:val="18"/>
          <w:szCs w:val="18"/>
        </w:rPr>
        <w:t>2024 Mar 5;17:751-762. doi: 10.2147/IJGM.S453247. PMID: 38476627; PMCID: PMC10929241.</w:t>
      </w:r>
    </w:p>
    <w:p w14:paraId="58710D2B" w14:textId="77777777" w:rsidR="00AE14E9" w:rsidRDefault="00BA1471">
      <w:pPr>
        <w:spacing w:before="60" w:after="60"/>
      </w:pPr>
      <w:r>
        <w:rPr>
          <w:rFonts w:ascii="Arial" w:eastAsia="Arial" w:hAnsi="Arial" w:cs="Arial"/>
          <w:b/>
          <w:bCs/>
          <w:color w:val="003399"/>
          <w:sz w:val="18"/>
          <w:szCs w:val="18"/>
        </w:rPr>
        <w:t xml:space="preserve">7. </w:t>
      </w:r>
      <w:r>
        <w:rPr>
          <w:rFonts w:ascii="Arial" w:eastAsia="Arial" w:hAnsi="Arial" w:cs="Arial"/>
          <w:sz w:val="18"/>
          <w:szCs w:val="18"/>
        </w:rPr>
        <w:t>Iancu A, Tudor R, Chita DS, Juratu C, Tudor A, Buleu F, Popa D, Brad S. Mechanical Thrombectomy via Transbrachial Approach in the Emergency Management of Acute Ischemi</w:t>
      </w:r>
      <w:r>
        <w:rPr>
          <w:rFonts w:ascii="Arial" w:eastAsia="Arial" w:hAnsi="Arial" w:cs="Arial"/>
          <w:sz w:val="18"/>
          <w:szCs w:val="18"/>
        </w:rPr>
        <w:t>c Stroke Patients with Aortic Pathologies: Our Experience and Literature Review. J Pers Med. 2024 Feb 18;14(2):216. doi: 10.3390/jpm14020216. PMID: 38392649; PMCID: PMC10890389.</w:t>
      </w:r>
    </w:p>
    <w:p w14:paraId="04130F2E" w14:textId="77777777" w:rsidR="00AE14E9" w:rsidRDefault="00BA1471">
      <w:pPr>
        <w:spacing w:before="60" w:after="60"/>
      </w:pPr>
      <w:r>
        <w:rPr>
          <w:rFonts w:ascii="Arial" w:eastAsia="Arial" w:hAnsi="Arial" w:cs="Arial"/>
          <w:b/>
          <w:bCs/>
          <w:color w:val="003399"/>
          <w:sz w:val="18"/>
          <w:szCs w:val="18"/>
        </w:rPr>
        <w:t xml:space="preserve">8. </w:t>
      </w:r>
      <w:r>
        <w:rPr>
          <w:rFonts w:ascii="Arial" w:eastAsia="Arial" w:hAnsi="Arial" w:cs="Arial"/>
          <w:sz w:val="18"/>
          <w:szCs w:val="18"/>
        </w:rPr>
        <w:t xml:space="preserve">Bota AV, Bratosin F, Bogdan I, Septimiu-Radu S, Ilie AC, Burtic SR, Razvan </w:t>
      </w:r>
      <w:r>
        <w:rPr>
          <w:rFonts w:ascii="Arial" w:eastAsia="Arial" w:hAnsi="Arial" w:cs="Arial"/>
          <w:sz w:val="18"/>
          <w:szCs w:val="18"/>
        </w:rPr>
        <w:t>DV, Tudor R, Indries MF, Csep AN, Fildan AP, Budea CM, Marincu I. Assessing the Quality of Life, Coping Strategies, Anxiety and Depression Levels in Patients with Long-COVID-19 Syndrome: A Six-Month Follow-Up Study. Diseases. 2024 Jan 11;12(1):21. doi: 10.</w:t>
      </w:r>
      <w:r>
        <w:rPr>
          <w:rFonts w:ascii="Arial" w:eastAsia="Arial" w:hAnsi="Arial" w:cs="Arial"/>
          <w:sz w:val="18"/>
          <w:szCs w:val="18"/>
        </w:rPr>
        <w:t>3390/diseases12010021. PMID: 38248372; PMCID: PMC10814582.</w:t>
      </w:r>
    </w:p>
    <w:p w14:paraId="6A3A020B" w14:textId="77777777" w:rsidR="00AE14E9" w:rsidRDefault="00BA1471">
      <w:pPr>
        <w:spacing w:before="60" w:after="60"/>
      </w:pPr>
      <w:r>
        <w:rPr>
          <w:rFonts w:ascii="Arial" w:eastAsia="Arial" w:hAnsi="Arial" w:cs="Arial"/>
          <w:b/>
          <w:bCs/>
          <w:color w:val="003399"/>
          <w:sz w:val="18"/>
          <w:szCs w:val="18"/>
        </w:rPr>
        <w:t xml:space="preserve">9. </w:t>
      </w:r>
      <w:r>
        <w:rPr>
          <w:rFonts w:ascii="Arial" w:eastAsia="Arial" w:hAnsi="Arial" w:cs="Arial"/>
          <w:sz w:val="18"/>
          <w:szCs w:val="18"/>
        </w:rPr>
        <w:t>Bratu ML, Sandesc D, Anghel T, Tudor R, Shaaban L, Ali A, Toma AO, Bratosin F, Turcu I, Gantsa A, Fericean RM, Bondrescu M, Barata PI. Evaluating the Aspects of Quality of Life in Individuals wi</w:t>
      </w:r>
      <w:r>
        <w:rPr>
          <w:rFonts w:ascii="Arial" w:eastAsia="Arial" w:hAnsi="Arial" w:cs="Arial"/>
          <w:sz w:val="18"/>
          <w:szCs w:val="18"/>
        </w:rPr>
        <w:t>th Substance Use Disorder: A Systematic Review Based on the WHOQOL Questionnaire. J Multidiscip Healthc. 2023 Dec 28;16:4265-4278. doi: 10.2147/JMDH.S440764. PMID: 38164463; PMCID: PMC10758186.</w:t>
      </w:r>
    </w:p>
    <w:p w14:paraId="4E6D51E3" w14:textId="77777777" w:rsidR="00AE14E9" w:rsidRDefault="00BA1471">
      <w:pPr>
        <w:spacing w:before="60" w:after="60"/>
      </w:pPr>
      <w:r>
        <w:rPr>
          <w:rFonts w:ascii="Arial" w:eastAsia="Arial" w:hAnsi="Arial" w:cs="Arial"/>
          <w:b/>
          <w:bCs/>
          <w:color w:val="003399"/>
          <w:sz w:val="18"/>
          <w:szCs w:val="18"/>
        </w:rPr>
        <w:t xml:space="preserve">10. </w:t>
      </w:r>
      <w:r>
        <w:rPr>
          <w:rFonts w:ascii="Arial" w:eastAsia="Arial" w:hAnsi="Arial" w:cs="Arial"/>
          <w:sz w:val="18"/>
          <w:szCs w:val="18"/>
        </w:rPr>
        <w:t>Pop R, Severac F, Hasiu A, Mihoc D, Mangin PH, Chibbaro S,</w:t>
      </w:r>
      <w:r>
        <w:rPr>
          <w:rFonts w:ascii="Arial" w:eastAsia="Arial" w:hAnsi="Arial" w:cs="Arial"/>
          <w:sz w:val="18"/>
          <w:szCs w:val="18"/>
        </w:rPr>
        <w:t xml:space="preserve"> Simu M, Tudor R, Gheoca R, Quenardelle V, Wolff V, Beaujeux R. Conservative versus aggressive antiplatelet strategy for emergent carotid stenting during stroke thrombectomy. </w:t>
      </w:r>
      <w:r>
        <w:rPr>
          <w:rFonts w:ascii="Arial" w:eastAsia="Arial" w:hAnsi="Arial" w:cs="Arial"/>
          <w:sz w:val="18"/>
          <w:szCs w:val="18"/>
        </w:rPr>
        <w:lastRenderedPageBreak/>
        <w:t xml:space="preserve">Interv Neuroradiol. 2023 Jun;29(3):268-276. doi: 10.1177/15910199221083112. Epub </w:t>
      </w:r>
      <w:r>
        <w:rPr>
          <w:rFonts w:ascii="Arial" w:eastAsia="Arial" w:hAnsi="Arial" w:cs="Arial"/>
          <w:sz w:val="18"/>
          <w:szCs w:val="18"/>
        </w:rPr>
        <w:t>2022 Mar 7. PMID: 35253529; PMCID: PMC10369108.</w:t>
      </w:r>
    </w:p>
    <w:p w14:paraId="52EB4EE6" w14:textId="77777777" w:rsidR="00AE14E9" w:rsidRDefault="00BA1471">
      <w:pPr>
        <w:spacing w:before="60" w:after="60"/>
      </w:pPr>
      <w:r>
        <w:rPr>
          <w:rFonts w:ascii="Arial" w:eastAsia="Arial" w:hAnsi="Arial" w:cs="Arial"/>
          <w:b/>
          <w:bCs/>
          <w:color w:val="003399"/>
          <w:sz w:val="18"/>
          <w:szCs w:val="18"/>
        </w:rPr>
        <w:t xml:space="preserve">11. </w:t>
      </w:r>
      <w:r>
        <w:rPr>
          <w:rFonts w:ascii="Arial" w:eastAsia="Arial" w:hAnsi="Arial" w:cs="Arial"/>
          <w:sz w:val="18"/>
          <w:szCs w:val="18"/>
        </w:rPr>
        <w:t>Iancu A, Buleu F, Chita DS, Tutelca A, Tudor R, Brad S. Early Hemorrhagic Transformation after Reperfusion Therapy in Patients with Acute Ischemic Stroke: Analysis of Risk Factors and Predictors. Brain Sc</w:t>
      </w:r>
      <w:r>
        <w:rPr>
          <w:rFonts w:ascii="Arial" w:eastAsia="Arial" w:hAnsi="Arial" w:cs="Arial"/>
          <w:sz w:val="18"/>
          <w:szCs w:val="18"/>
        </w:rPr>
        <w:t>i. 2023 May 22;13(5):840. doi: 10.3390/brainsci13050840. PMID: 37239312; PMCID: PMC10216637.</w:t>
      </w:r>
    </w:p>
    <w:p w14:paraId="283EBACD" w14:textId="77777777" w:rsidR="00AE14E9" w:rsidRDefault="00BA1471">
      <w:pPr>
        <w:spacing w:before="60" w:after="60"/>
      </w:pPr>
      <w:r>
        <w:rPr>
          <w:rFonts w:ascii="Arial" w:eastAsia="Arial" w:hAnsi="Arial" w:cs="Arial"/>
          <w:b/>
          <w:bCs/>
          <w:color w:val="003399"/>
          <w:sz w:val="18"/>
          <w:szCs w:val="18"/>
        </w:rPr>
        <w:t xml:space="preserve">12. </w:t>
      </w:r>
      <w:r>
        <w:rPr>
          <w:rFonts w:ascii="Arial" w:eastAsia="Arial" w:hAnsi="Arial" w:cs="Arial"/>
          <w:sz w:val="18"/>
          <w:szCs w:val="18"/>
        </w:rPr>
        <w:t>Gruescu ACS, Popoiu C, Levai MC, Tudor R, Fericean RM, Rivis M. A Cross-Sectional Assessment of Parental Concerns in the Pediatric Surgery Department during th</w:t>
      </w:r>
      <w:r>
        <w:rPr>
          <w:rFonts w:ascii="Arial" w:eastAsia="Arial" w:hAnsi="Arial" w:cs="Arial"/>
          <w:sz w:val="18"/>
          <w:szCs w:val="18"/>
        </w:rPr>
        <w:t>e COVID-19 Pandemic. Healthcare (Basel). 2023 May 5;11(9):1330. doi: 10.3390/healthcare11091330. PMID: 37174873; PMCID: PMC10177879.</w:t>
      </w:r>
    </w:p>
    <w:p w14:paraId="09911DDF" w14:textId="77777777" w:rsidR="00AE14E9" w:rsidRDefault="00BA1471">
      <w:pPr>
        <w:spacing w:before="60" w:after="60"/>
      </w:pPr>
      <w:r>
        <w:rPr>
          <w:rFonts w:ascii="Arial" w:eastAsia="Arial" w:hAnsi="Arial" w:cs="Arial"/>
          <w:b/>
          <w:bCs/>
          <w:color w:val="003399"/>
          <w:sz w:val="18"/>
          <w:szCs w:val="18"/>
        </w:rPr>
        <w:t xml:space="preserve">13. </w:t>
      </w:r>
      <w:r>
        <w:rPr>
          <w:rFonts w:ascii="Arial" w:eastAsia="Arial" w:hAnsi="Arial" w:cs="Arial"/>
          <w:sz w:val="18"/>
          <w:szCs w:val="18"/>
        </w:rPr>
        <w:t>Samfireag M, Potre C, Potre O, Tudor R, Hoinoiu T, Anghel A. Approach to Thrombophilia in Pregnancy-A Narrative Review.</w:t>
      </w:r>
      <w:r>
        <w:rPr>
          <w:rFonts w:ascii="Arial" w:eastAsia="Arial" w:hAnsi="Arial" w:cs="Arial"/>
          <w:sz w:val="18"/>
          <w:szCs w:val="18"/>
        </w:rPr>
        <w:t xml:space="preserve"> Medicina (Kaunas). 2022 May 23;58(5):692. doi: 10.3390/medicina58050692. PMID: 35630108; PMCID: PMC9145888.</w:t>
      </w:r>
    </w:p>
    <w:p w14:paraId="1F33ADDC" w14:textId="77777777" w:rsidR="00AE14E9" w:rsidRDefault="00BA1471">
      <w:pPr>
        <w:spacing w:before="60" w:after="60"/>
      </w:pPr>
      <w:r>
        <w:rPr>
          <w:rFonts w:ascii="Arial" w:eastAsia="Arial" w:hAnsi="Arial" w:cs="Arial"/>
          <w:b/>
          <w:bCs/>
          <w:color w:val="003399"/>
          <w:sz w:val="18"/>
          <w:szCs w:val="18"/>
        </w:rPr>
        <w:t xml:space="preserve">14. </w:t>
      </w:r>
      <w:r>
        <w:rPr>
          <w:rFonts w:ascii="Arial" w:eastAsia="Arial" w:hAnsi="Arial" w:cs="Arial"/>
          <w:sz w:val="18"/>
          <w:szCs w:val="18"/>
        </w:rPr>
        <w:t xml:space="preserve">Reisz D, Crișan I, Reisz A, Tudor R, Georgescu D. Stress and Bio-Ethical Issues Perceived by Romanian Healthcare Practitioners in the COVID-19 </w:t>
      </w:r>
      <w:r>
        <w:rPr>
          <w:rFonts w:ascii="Arial" w:eastAsia="Arial" w:hAnsi="Arial" w:cs="Arial"/>
          <w:sz w:val="18"/>
          <w:szCs w:val="18"/>
        </w:rPr>
        <w:t>Era. Int J Environ Res Public Health. 2021 Dec 3;18(23):12749. doi: 10.3390/ijerph182312749. PMID: 34886475; PMCID: PMC8657628.</w:t>
      </w:r>
    </w:p>
    <w:p w14:paraId="1CA18D17" w14:textId="77777777" w:rsidR="00AE14E9" w:rsidRDefault="00BA1471">
      <w:pPr>
        <w:spacing w:before="60" w:after="60"/>
      </w:pPr>
      <w:r>
        <w:rPr>
          <w:rFonts w:ascii="Arial" w:eastAsia="Arial" w:hAnsi="Arial" w:cs="Arial"/>
          <w:b/>
          <w:bCs/>
          <w:color w:val="003399"/>
          <w:sz w:val="18"/>
          <w:szCs w:val="18"/>
        </w:rPr>
        <w:t xml:space="preserve">15. </w:t>
      </w:r>
      <w:r>
        <w:rPr>
          <w:rFonts w:ascii="Arial" w:eastAsia="Arial" w:hAnsi="Arial" w:cs="Arial"/>
          <w:sz w:val="18"/>
          <w:szCs w:val="18"/>
        </w:rPr>
        <w:t>Potre O, Pescaru M, Sima A, Ionita I, Tudor R, Borsi E, Samfireag M, Potre C. Evaluation of the Relapse Risk and Survival Ra</w:t>
      </w:r>
      <w:r>
        <w:rPr>
          <w:rFonts w:ascii="Arial" w:eastAsia="Arial" w:hAnsi="Arial" w:cs="Arial"/>
          <w:sz w:val="18"/>
          <w:szCs w:val="18"/>
        </w:rPr>
        <w:t>te in Patients with Hodgkin Lymphoma: A Monocentric Experience. Medicina (Kaunas). 2021 Sep 27;57(10):1026. doi: 10.3390/medicina57101026. PMID: 34684063; PMCID: PMC8540813.</w:t>
      </w:r>
    </w:p>
    <w:p w14:paraId="7CAE7FB9" w14:textId="77777777" w:rsidR="00AE14E9" w:rsidRDefault="00BA1471">
      <w:pPr>
        <w:spacing w:before="60" w:after="60"/>
      </w:pPr>
      <w:r>
        <w:rPr>
          <w:rFonts w:ascii="Arial" w:eastAsia="Arial" w:hAnsi="Arial" w:cs="Arial"/>
          <w:b/>
          <w:bCs/>
          <w:color w:val="003399"/>
          <w:sz w:val="18"/>
          <w:szCs w:val="18"/>
        </w:rPr>
        <w:t xml:space="preserve">16. </w:t>
      </w:r>
      <w:r>
        <w:rPr>
          <w:rFonts w:ascii="Arial" w:eastAsia="Arial" w:hAnsi="Arial" w:cs="Arial"/>
          <w:sz w:val="18"/>
          <w:szCs w:val="18"/>
        </w:rPr>
        <w:t>Rosca EC, Tadger P, Cornea A, Tudor R, Oancea C, Simu M. International HIV Dem</w:t>
      </w:r>
      <w:r>
        <w:rPr>
          <w:rFonts w:ascii="Arial" w:eastAsia="Arial" w:hAnsi="Arial" w:cs="Arial"/>
          <w:sz w:val="18"/>
          <w:szCs w:val="18"/>
        </w:rPr>
        <w:t>entia Scale for HIV-Associated Neurocognitive Disorders: A Systematic Review and Meta-Analysis. Diagnostics (Basel). 2021 Jun 20;11(6):1124. doi: 10.3390/diagnostics11061124. PMID: 34202994; PMCID: PMC8235728.</w:t>
      </w:r>
    </w:p>
    <w:p w14:paraId="4D66CA47" w14:textId="77777777" w:rsidR="00AE14E9" w:rsidRDefault="00BA1471">
      <w:pPr>
        <w:spacing w:before="60" w:after="60"/>
      </w:pPr>
      <w:r>
        <w:rPr>
          <w:rFonts w:ascii="Arial" w:eastAsia="Arial" w:hAnsi="Arial" w:cs="Arial"/>
          <w:b/>
          <w:bCs/>
          <w:color w:val="003399"/>
          <w:sz w:val="18"/>
          <w:szCs w:val="18"/>
        </w:rPr>
        <w:t xml:space="preserve">17. </w:t>
      </w:r>
      <w:r>
        <w:rPr>
          <w:rFonts w:ascii="Arial" w:eastAsia="Arial" w:hAnsi="Arial" w:cs="Arial"/>
          <w:sz w:val="18"/>
          <w:szCs w:val="18"/>
        </w:rPr>
        <w:t>Rosca EC, Tudor R, Cornea A, Simu M. Parki</w:t>
      </w:r>
      <w:r>
        <w:rPr>
          <w:rFonts w:ascii="Arial" w:eastAsia="Arial" w:hAnsi="Arial" w:cs="Arial"/>
          <w:sz w:val="18"/>
          <w:szCs w:val="18"/>
        </w:rPr>
        <w:t>nson's Disease in Romania: A Scoping Review. Brain Sci. 2021 May 27;11(6):709. doi: 10.3390/brainsci11060709. PMID: 34071802; PMCID: PMC8226866.</w:t>
      </w:r>
    </w:p>
    <w:p w14:paraId="7B6AD92F" w14:textId="77777777" w:rsidR="00AE14E9" w:rsidRDefault="00BA1471">
      <w:pPr>
        <w:spacing w:before="60" w:after="60"/>
      </w:pPr>
      <w:r>
        <w:rPr>
          <w:rFonts w:ascii="Arial" w:eastAsia="Arial" w:hAnsi="Arial" w:cs="Arial"/>
          <w:b/>
          <w:bCs/>
          <w:color w:val="003399"/>
          <w:sz w:val="18"/>
          <w:szCs w:val="18"/>
        </w:rPr>
        <w:t xml:space="preserve">18. </w:t>
      </w:r>
      <w:r>
        <w:rPr>
          <w:rFonts w:ascii="Arial" w:eastAsia="Arial" w:hAnsi="Arial" w:cs="Arial"/>
          <w:sz w:val="18"/>
          <w:szCs w:val="18"/>
        </w:rPr>
        <w:t>Rosca EC, Tudor R, Cornea A, Simu M. Central Nervous System Involvement in Trichinellosis: A Systematic Rev</w:t>
      </w:r>
      <w:r>
        <w:rPr>
          <w:rFonts w:ascii="Arial" w:eastAsia="Arial" w:hAnsi="Arial" w:cs="Arial"/>
          <w:sz w:val="18"/>
          <w:szCs w:val="18"/>
        </w:rPr>
        <w:t>iew. Diagnostics (Basel). 2021 May 25;11(6):945. doi: 10.3390/diagnostics11060945. PMID: 34070586; PMCID: PMC8227095.</w:t>
      </w:r>
    </w:p>
    <w:p w14:paraId="4D1AE6A5" w14:textId="77777777" w:rsidR="00AE14E9" w:rsidRDefault="00BA1471">
      <w:pPr>
        <w:spacing w:before="60" w:after="60"/>
      </w:pPr>
      <w:r>
        <w:rPr>
          <w:rFonts w:ascii="Arial" w:eastAsia="Arial" w:hAnsi="Arial" w:cs="Arial"/>
          <w:b/>
          <w:bCs/>
          <w:color w:val="003399"/>
          <w:sz w:val="18"/>
          <w:szCs w:val="18"/>
        </w:rPr>
        <w:t xml:space="preserve">19. </w:t>
      </w:r>
      <w:r>
        <w:rPr>
          <w:rFonts w:ascii="Arial" w:eastAsia="Arial" w:hAnsi="Arial" w:cs="Arial"/>
          <w:sz w:val="18"/>
          <w:szCs w:val="18"/>
        </w:rPr>
        <w:t>Borsi E, Serban CL, Potre C, Potre O, Putnoky S, Samfireag M, Tudor R, Ionita I, Ionita H. High Carbohydrate Diet Is Associated with S</w:t>
      </w:r>
      <w:r>
        <w:rPr>
          <w:rFonts w:ascii="Arial" w:eastAsia="Arial" w:hAnsi="Arial" w:cs="Arial"/>
          <w:sz w:val="18"/>
          <w:szCs w:val="18"/>
        </w:rPr>
        <w:t>evere Clinical Indicators, but Not with Nutrition Knowledge Score in Patients with Multiple Myeloma. Int J Environ Res Public Health. 2021 May 19;18(10):5444. doi: 10.3390/ijerph18105444. PMID: 34069672; PMCID: PMC8161065.</w:t>
      </w:r>
    </w:p>
    <w:p w14:paraId="1C0F2A7A" w14:textId="77777777" w:rsidR="00AE14E9" w:rsidRDefault="00BA1471">
      <w:pPr>
        <w:spacing w:before="60" w:after="60"/>
      </w:pPr>
      <w:r>
        <w:rPr>
          <w:rFonts w:ascii="Arial" w:eastAsia="Arial" w:hAnsi="Arial" w:cs="Arial"/>
          <w:b/>
          <w:bCs/>
          <w:color w:val="003399"/>
          <w:sz w:val="18"/>
          <w:szCs w:val="18"/>
        </w:rPr>
        <w:t xml:space="preserve">20. </w:t>
      </w:r>
      <w:r>
        <w:rPr>
          <w:rFonts w:ascii="Arial" w:eastAsia="Arial" w:hAnsi="Arial" w:cs="Arial"/>
          <w:sz w:val="18"/>
          <w:szCs w:val="18"/>
        </w:rPr>
        <w:t xml:space="preserve">Rosca EC, Tudor R, Cornea A, </w:t>
      </w:r>
      <w:r>
        <w:rPr>
          <w:rFonts w:ascii="Arial" w:eastAsia="Arial" w:hAnsi="Arial" w:cs="Arial"/>
          <w:sz w:val="18"/>
          <w:szCs w:val="18"/>
        </w:rPr>
        <w:t>Simu M. Parkinson's Disease in Romania: A Scoping Review Protocol. Brain Sci. 2021 Feb 17;11(2):251. doi: 10.3390/brainsci11020251. PMID: 33671440; PMCID: PMC7922587.</w:t>
      </w:r>
    </w:p>
    <w:p w14:paraId="0CDD3854" w14:textId="77777777" w:rsidR="00AE14E9" w:rsidRDefault="00BA1471">
      <w:pPr>
        <w:spacing w:before="60" w:after="60"/>
      </w:pPr>
      <w:r>
        <w:rPr>
          <w:rFonts w:ascii="Arial" w:eastAsia="Arial" w:hAnsi="Arial" w:cs="Arial"/>
          <w:b/>
          <w:bCs/>
          <w:color w:val="003399"/>
          <w:sz w:val="18"/>
          <w:szCs w:val="18"/>
        </w:rPr>
        <w:t xml:space="preserve">21. </w:t>
      </w:r>
      <w:r>
        <w:rPr>
          <w:rFonts w:ascii="Arial" w:eastAsia="Arial" w:hAnsi="Arial" w:cs="Arial"/>
          <w:sz w:val="18"/>
          <w:szCs w:val="18"/>
        </w:rPr>
        <w:t xml:space="preserve">Tudor R, Iovanescu G, Reisz D, Cornea A, Potre-Oncu C, Tutelca A, Simu M. Additional </w:t>
      </w:r>
      <w:r>
        <w:rPr>
          <w:rFonts w:ascii="Arial" w:eastAsia="Arial" w:hAnsi="Arial" w:cs="Arial"/>
          <w:sz w:val="18"/>
          <w:szCs w:val="18"/>
        </w:rPr>
        <w:t>factors to corelate with a more than 30% NIHSS score improvement in patients 7 days after fibrinolytic and/or endovascular treatment for ischemic stroke. BMC Neurol. 2020 Nov 14;20(1):417. doi: 10.1186/s12883-020-01990-z. PMID: 33189130; PMCID: PMC7666450.</w:t>
      </w:r>
    </w:p>
    <w:p w14:paraId="1DC6B639" w14:textId="77777777" w:rsidR="00AE14E9" w:rsidRDefault="00BA1471">
      <w:pPr>
        <w:spacing w:before="60" w:after="60"/>
      </w:pPr>
      <w:r>
        <w:rPr>
          <w:rFonts w:ascii="Arial" w:eastAsia="Arial" w:hAnsi="Arial" w:cs="Arial"/>
          <w:b/>
          <w:bCs/>
          <w:color w:val="003399"/>
          <w:sz w:val="18"/>
          <w:szCs w:val="18"/>
        </w:rPr>
        <w:t xml:space="preserve">22. </w:t>
      </w:r>
      <w:r>
        <w:rPr>
          <w:rFonts w:ascii="Arial" w:eastAsia="Arial" w:hAnsi="Arial" w:cs="Arial"/>
          <w:sz w:val="18"/>
          <w:szCs w:val="18"/>
        </w:rPr>
        <w:t>Gadalean F, Simu M, Parv F, Vorovenci R, Tudor R, Schiller A, Timar R, Petrica L, Velciov S, Gluhovschi C, Bob F, Mihaescu A, Timar B, Spasovski G, Ivan V. The impact of acute kidney injury on in-hospital mortality in acute ischemic stroke patients un</w:t>
      </w:r>
      <w:r>
        <w:rPr>
          <w:rFonts w:ascii="Arial" w:eastAsia="Arial" w:hAnsi="Arial" w:cs="Arial"/>
          <w:sz w:val="18"/>
          <w:szCs w:val="18"/>
        </w:rPr>
        <w:t>dergoing intravenous thrombolysis. PLoS One. 2017 Oct 17;12(10):e0185589. doi: 10.1371/journal.pone.0185589. PMID: 29040276; PMCID: PMC5645137.</w:t>
      </w:r>
    </w:p>
    <w:p w14:paraId="6B497C06" w14:textId="77777777" w:rsidR="00AE14E9" w:rsidRDefault="00AE14E9">
      <w:pPr>
        <w:spacing w:before="140"/>
      </w:pPr>
    </w:p>
    <w:p w14:paraId="7D27F1C7" w14:textId="3C65A949" w:rsidR="00AE14E9" w:rsidRDefault="00BA1471">
      <w:pPr>
        <w:pBdr>
          <w:top w:val="single" w:sz="4" w:space="1" w:color="003399"/>
        </w:pBdr>
        <w:spacing w:before="80"/>
      </w:pPr>
      <w:r>
        <w:rPr>
          <w:rFonts w:ascii="Arial" w:eastAsia="Arial" w:hAnsi="Arial" w:cs="Arial"/>
          <w:i/>
          <w:iCs/>
          <w:color w:val="666666"/>
          <w:sz w:val="18"/>
          <w:szCs w:val="18"/>
        </w:rPr>
        <w:t xml:space="preserve">Timișoara, </w:t>
      </w:r>
      <w:r w:rsidR="00A557B8">
        <w:rPr>
          <w:rFonts w:ascii="Arial" w:eastAsia="Arial" w:hAnsi="Arial" w:cs="Arial"/>
          <w:i/>
          <w:iCs/>
          <w:color w:val="666666"/>
          <w:sz w:val="18"/>
          <w:szCs w:val="18"/>
        </w:rPr>
        <w:t>2</w:t>
      </w:r>
      <w:r>
        <w:rPr>
          <w:rFonts w:ascii="Arial" w:eastAsia="Arial" w:hAnsi="Arial" w:cs="Arial"/>
          <w:i/>
          <w:iCs/>
          <w:color w:val="666666"/>
          <w:sz w:val="18"/>
          <w:szCs w:val="18"/>
        </w:rPr>
        <w:t>6 Mai 2026     |     Conf. Univ. Dr. Med. Raluca Tudor</w:t>
      </w:r>
    </w:p>
    <w:sectPr w:rsidR="00AE14E9">
      <w:pgSz w:w="11906" w:h="16838"/>
      <w:pgMar w:top="720" w:right="1008" w:bottom="900" w:left="1008"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B45EAE"/>
    <w:multiLevelType w:val="hybridMultilevel"/>
    <w:tmpl w:val="2DAA3BCC"/>
    <w:lvl w:ilvl="0" w:tplc="7E8AD208">
      <w:start w:val="1"/>
      <w:numFmt w:val="bullet"/>
      <w:lvlText w:val="●"/>
      <w:lvlJc w:val="left"/>
      <w:pPr>
        <w:ind w:left="720" w:hanging="360"/>
      </w:pPr>
    </w:lvl>
    <w:lvl w:ilvl="1" w:tplc="00226DBA">
      <w:start w:val="1"/>
      <w:numFmt w:val="bullet"/>
      <w:lvlText w:val="○"/>
      <w:lvlJc w:val="left"/>
      <w:pPr>
        <w:ind w:left="1440" w:hanging="360"/>
      </w:pPr>
    </w:lvl>
    <w:lvl w:ilvl="2" w:tplc="0F38496A">
      <w:start w:val="1"/>
      <w:numFmt w:val="bullet"/>
      <w:lvlText w:val="■"/>
      <w:lvlJc w:val="left"/>
      <w:pPr>
        <w:ind w:left="2160" w:hanging="360"/>
      </w:pPr>
    </w:lvl>
    <w:lvl w:ilvl="3" w:tplc="CB04F636">
      <w:start w:val="1"/>
      <w:numFmt w:val="bullet"/>
      <w:lvlText w:val="●"/>
      <w:lvlJc w:val="left"/>
      <w:pPr>
        <w:ind w:left="2880" w:hanging="360"/>
      </w:pPr>
    </w:lvl>
    <w:lvl w:ilvl="4" w:tplc="3F1A4E72">
      <w:start w:val="1"/>
      <w:numFmt w:val="bullet"/>
      <w:lvlText w:val="○"/>
      <w:lvlJc w:val="left"/>
      <w:pPr>
        <w:ind w:left="3600" w:hanging="360"/>
      </w:pPr>
    </w:lvl>
    <w:lvl w:ilvl="5" w:tplc="DE06352A">
      <w:start w:val="1"/>
      <w:numFmt w:val="bullet"/>
      <w:lvlText w:val="■"/>
      <w:lvlJc w:val="left"/>
      <w:pPr>
        <w:ind w:left="4320" w:hanging="360"/>
      </w:pPr>
    </w:lvl>
    <w:lvl w:ilvl="6" w:tplc="014038B8">
      <w:start w:val="1"/>
      <w:numFmt w:val="bullet"/>
      <w:lvlText w:val="●"/>
      <w:lvlJc w:val="left"/>
      <w:pPr>
        <w:ind w:left="5040" w:hanging="360"/>
      </w:pPr>
    </w:lvl>
    <w:lvl w:ilvl="7" w:tplc="36387DC8">
      <w:start w:val="1"/>
      <w:numFmt w:val="bullet"/>
      <w:lvlText w:val="●"/>
      <w:lvlJc w:val="left"/>
      <w:pPr>
        <w:ind w:left="5760" w:hanging="360"/>
      </w:pPr>
    </w:lvl>
    <w:lvl w:ilvl="8" w:tplc="F4CA7F4E">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4E9"/>
    <w:rsid w:val="006D119E"/>
    <w:rsid w:val="00852CA0"/>
    <w:rsid w:val="009E6349"/>
    <w:rsid w:val="00A557B8"/>
    <w:rsid w:val="00AE14E9"/>
    <w:rsid w:val="00BA1471"/>
    <w:rsid w:val="00C353F9"/>
    <w:rsid w:val="00D76629"/>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2A950"/>
  <w15:docId w15:val="{A6E39F13-3700-E040-8480-7011B62AE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1592</Words>
  <Characters>9078</Characters>
  <Application>Microsoft Office Word</Application>
  <DocSecurity>0</DocSecurity>
  <Lines>75</Lines>
  <Paragraphs>21</Paragraphs>
  <ScaleCrop>false</ScaleCrop>
  <Company/>
  <LinksUpToDate>false</LinksUpToDate>
  <CharactersWithSpaces>10649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Windows User</cp:lastModifiedBy>
  <cp:revision>6</cp:revision>
  <dcterms:created xsi:type="dcterms:W3CDTF">2026-05-08T07:54:00Z</dcterms:created>
  <dcterms:modified xsi:type="dcterms:W3CDTF">2026-06-12T05:02:00Z</dcterms:modified>
</cp:coreProperties>
</file>