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3F9" w:rsidRDefault="00C073F9" w:rsidP="00C073F9">
      <w:pPr>
        <w:tabs>
          <w:tab w:val="left" w:pos="420"/>
        </w:tabs>
        <w:autoSpaceDE w:val="0"/>
        <w:autoSpaceDN w:val="0"/>
        <w:adjustRightInd w:val="0"/>
        <w:spacing w:after="0" w:line="228" w:lineRule="exact"/>
        <w:ind w:left="720" w:right="-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073F9">
        <w:rPr>
          <w:rFonts w:ascii="Times New Roman" w:hAnsi="Times New Roman" w:cs="Times New Roman"/>
          <w:b/>
          <w:sz w:val="24"/>
          <w:szCs w:val="24"/>
          <w:lang w:val="fr-FR"/>
        </w:rPr>
        <w:t>Lista completă de lucrări</w:t>
      </w:r>
    </w:p>
    <w:p w:rsidR="00C073F9" w:rsidRPr="00C073F9" w:rsidRDefault="00C073F9" w:rsidP="00C073F9">
      <w:pPr>
        <w:tabs>
          <w:tab w:val="left" w:pos="420"/>
        </w:tabs>
        <w:autoSpaceDE w:val="0"/>
        <w:autoSpaceDN w:val="0"/>
        <w:adjustRightInd w:val="0"/>
        <w:spacing w:after="0" w:line="228" w:lineRule="exact"/>
        <w:ind w:left="720" w:right="-20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fr-FR"/>
        </w:rPr>
      </w:pPr>
    </w:p>
    <w:p w:rsidR="00C073F9" w:rsidRPr="00C073F9" w:rsidRDefault="00C073F9" w:rsidP="00C073F9">
      <w:pPr>
        <w:tabs>
          <w:tab w:val="left" w:pos="420"/>
        </w:tabs>
        <w:autoSpaceDE w:val="0"/>
        <w:autoSpaceDN w:val="0"/>
        <w:adjustRightInd w:val="0"/>
        <w:spacing w:after="0" w:line="228" w:lineRule="exact"/>
        <w:ind w:left="720" w:right="-20"/>
        <w:jc w:val="both"/>
        <w:rPr>
          <w:rFonts w:ascii="Times New Roman" w:hAnsi="Times New Roman" w:cs="Times New Roman"/>
          <w:spacing w:val="-2"/>
          <w:sz w:val="24"/>
          <w:szCs w:val="24"/>
          <w:lang w:val="fr-FR"/>
        </w:rPr>
      </w:pPr>
    </w:p>
    <w:p w:rsidR="00C073F9" w:rsidRDefault="00C073F9" w:rsidP="0038354C">
      <w:p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spacing w:val="-2"/>
          <w:sz w:val="24"/>
          <w:szCs w:val="24"/>
          <w:lang w:val="fr-FR"/>
        </w:rPr>
      </w:pPr>
      <w:r w:rsidRPr="00C073F9">
        <w:rPr>
          <w:rFonts w:ascii="Times New Roman" w:hAnsi="Times New Roman" w:cs="Times New Roman"/>
          <w:spacing w:val="-2"/>
          <w:sz w:val="24"/>
          <w:szCs w:val="24"/>
          <w:lang w:val="fr-FR"/>
        </w:rPr>
        <w:t>Articole publicate in extenso în reviste cotate ISI ca autor principal (ultim/ prim/ corespondent)</w:t>
      </w:r>
    </w:p>
    <w:p w:rsidR="00A367E2" w:rsidRPr="00C073F9" w:rsidRDefault="00A367E2" w:rsidP="00C073F9">
      <w:pPr>
        <w:tabs>
          <w:tab w:val="left" w:pos="420"/>
        </w:tabs>
        <w:autoSpaceDE w:val="0"/>
        <w:autoSpaceDN w:val="0"/>
        <w:adjustRightInd w:val="0"/>
        <w:spacing w:after="0" w:line="228" w:lineRule="exact"/>
        <w:ind w:left="720" w:right="-20"/>
        <w:jc w:val="both"/>
        <w:rPr>
          <w:rFonts w:ascii="Times New Roman" w:hAnsi="Times New Roman" w:cs="Times New Roman"/>
          <w:spacing w:val="-2"/>
          <w:sz w:val="24"/>
          <w:szCs w:val="24"/>
          <w:lang w:val="fr-FR"/>
        </w:rPr>
      </w:pPr>
    </w:p>
    <w:p w:rsidR="00C073F9" w:rsidRPr="00C073F9" w:rsidRDefault="00C073F9" w:rsidP="00C073F9">
      <w:pPr>
        <w:tabs>
          <w:tab w:val="left" w:pos="420"/>
        </w:tabs>
        <w:autoSpaceDE w:val="0"/>
        <w:autoSpaceDN w:val="0"/>
        <w:adjustRightInd w:val="0"/>
        <w:spacing w:after="0" w:line="228" w:lineRule="exact"/>
        <w:ind w:left="720" w:right="-20"/>
        <w:jc w:val="both"/>
        <w:rPr>
          <w:rFonts w:ascii="Times New Roman" w:hAnsi="Times New Roman" w:cs="Times New Roman"/>
          <w:spacing w:val="-2"/>
          <w:sz w:val="24"/>
          <w:szCs w:val="24"/>
          <w:lang w:val="fr-FR"/>
        </w:rPr>
      </w:pPr>
    </w:p>
    <w:p w:rsidR="00A367E2" w:rsidRPr="00A367E2" w:rsidRDefault="00A367E2" w:rsidP="00A367E2">
      <w:pPr>
        <w:pStyle w:val="ListParagraph"/>
        <w:numPr>
          <w:ilvl w:val="0"/>
          <w:numId w:val="1"/>
        </w:numPr>
        <w:spacing w:line="360" w:lineRule="auto"/>
      </w:pPr>
      <w:bookmarkStart w:id="0" w:name="_Hlk219442251"/>
      <w:r w:rsidRPr="00A367E2">
        <w:rPr>
          <w:b/>
          <w:spacing w:val="-6"/>
          <w:position w:val="1"/>
        </w:rPr>
        <w:t>Leferman CE</w:t>
      </w:r>
      <w:r w:rsidRPr="00A367E2">
        <w:rPr>
          <w:spacing w:val="-6"/>
          <w:position w:val="1"/>
        </w:rPr>
        <w:t xml:space="preserve">, Ochiuz L, Stoica L, Foia LG, Minea B, Foia CI, Constantinescu V, Olariu O, Ciubotaru AD, Stoica BA. Impact of Manganese Coordination and Cyclodextrin-Assisted Formulation on Thiabendazole Dissolution and Endothelial Cell Migration. </w:t>
      </w:r>
      <w:r w:rsidRPr="00A367E2">
        <w:rPr>
          <w:spacing w:val="-6"/>
          <w:position w:val="1"/>
          <w:lang w:val="fr-FR"/>
        </w:rPr>
        <w:t xml:space="preserve">Germs. 2026; 16(1):1. </w:t>
      </w:r>
      <w:hyperlink r:id="rId5" w:history="1">
        <w:r w:rsidRPr="00A367E2">
          <w:rPr>
            <w:rStyle w:val="Hyperlink"/>
            <w:color w:val="0070C0"/>
            <w:spacing w:val="-6"/>
            <w:position w:val="1"/>
            <w:lang w:val="fr-FR"/>
          </w:rPr>
          <w:t>https://doi.org/10.3390/germs16010001</w:t>
        </w:r>
      </w:hyperlink>
      <w:r w:rsidRPr="00A367E2">
        <w:rPr>
          <w:spacing w:val="-6"/>
          <w:position w:val="1"/>
          <w:lang w:val="fr-FR"/>
        </w:rPr>
        <w:t xml:space="preserve">, </w:t>
      </w:r>
      <w:r w:rsidRPr="00A367E2">
        <w:rPr>
          <w:color w:val="000000" w:themeColor="text1"/>
          <w:spacing w:val="-6"/>
        </w:rPr>
        <w:t>IF – 1.7 (2024).</w:t>
      </w:r>
    </w:p>
    <w:p w:rsidR="00A367E2" w:rsidRPr="00A367E2" w:rsidRDefault="00A367E2" w:rsidP="00A367E2">
      <w:pPr>
        <w:pStyle w:val="BodyText"/>
        <w:numPr>
          <w:ilvl w:val="0"/>
          <w:numId w:val="1"/>
        </w:numPr>
        <w:tabs>
          <w:tab w:val="left" w:pos="2745"/>
        </w:tabs>
        <w:spacing w:line="360" w:lineRule="auto"/>
        <w:ind w:right="330"/>
        <w:jc w:val="both"/>
        <w:rPr>
          <w:rFonts w:ascii="Times New Roman" w:hAnsi="Times New Roman" w:cs="Times New Roman"/>
          <w:color w:val="000000" w:themeColor="text1"/>
          <w:spacing w:val="-6"/>
          <w:position w:val="1"/>
          <w:sz w:val="24"/>
          <w:szCs w:val="24"/>
          <w:lang w:val="fr-FR"/>
        </w:rPr>
      </w:pPr>
      <w:r w:rsidRPr="00A367E2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Bunescu S, Stoica BA, Ciubotaru AD, Antohi AL, Bordeianu G,  </w:t>
      </w:r>
      <w:r w:rsidRPr="00A367E2"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ar-SA"/>
        </w:rPr>
        <w:t>Leferman</w:t>
      </w:r>
      <w:r w:rsidRPr="00A367E2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r w:rsidRPr="00A367E2"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ar-SA"/>
        </w:rPr>
        <w:t>CE</w:t>
      </w:r>
      <w:r w:rsidRPr="00A367E2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(2025). Integrated visualization and genetic profiling of latent fingerprints via UVITEX OB and adapted fluorescence microscopy. </w:t>
      </w:r>
      <w:r w:rsidRPr="00A367E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ar-SA"/>
        </w:rPr>
        <w:t>Forensic Science International</w:t>
      </w:r>
      <w:r w:rsidRPr="00A367E2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, </w:t>
      </w:r>
      <w:r w:rsidRPr="00A367E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ar-SA"/>
        </w:rPr>
        <w:t>376</w:t>
      </w:r>
      <w:r w:rsidRPr="00A367E2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>, 112611</w:t>
      </w:r>
      <w:r w:rsidRPr="00A367E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en-US" w:bidi="ar-SA"/>
        </w:rPr>
        <w:t xml:space="preserve">,  </w:t>
      </w:r>
      <w:hyperlink r:id="rId6" w:history="1">
        <w:r w:rsidRPr="00A367E2">
          <w:rPr>
            <w:rStyle w:val="Hyperlink"/>
            <w:rFonts w:ascii="Times New Roman" w:eastAsia="Times New Roman" w:hAnsi="Times New Roman" w:cs="Times New Roman"/>
            <w:color w:val="0070C0"/>
            <w:sz w:val="24"/>
            <w:szCs w:val="24"/>
            <w:lang w:val="en-US" w:eastAsia="en-US" w:bidi="ar-SA"/>
          </w:rPr>
          <w:t>https://doi.org/10.1016/j.forsciint.2025.112611</w:t>
        </w:r>
      </w:hyperlink>
      <w:r w:rsidRPr="00A367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 w:bidi="ar-SA"/>
        </w:rPr>
        <w:t xml:space="preserve">,  </w:t>
      </w:r>
      <w:r w:rsidRPr="00A367E2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IF – 2.5 (2024)</w:t>
      </w:r>
    </w:p>
    <w:p w:rsidR="00A367E2" w:rsidRPr="00A367E2" w:rsidRDefault="00A367E2" w:rsidP="00A367E2">
      <w:pPr>
        <w:pStyle w:val="BodyText"/>
        <w:numPr>
          <w:ilvl w:val="0"/>
          <w:numId w:val="1"/>
        </w:numPr>
        <w:tabs>
          <w:tab w:val="left" w:pos="2745"/>
        </w:tabs>
        <w:spacing w:line="360" w:lineRule="auto"/>
        <w:ind w:right="330"/>
        <w:jc w:val="both"/>
        <w:rPr>
          <w:rFonts w:ascii="Times New Roman" w:hAnsi="Times New Roman" w:cs="Times New Roman"/>
          <w:color w:val="000000" w:themeColor="text1"/>
          <w:spacing w:val="-6"/>
          <w:position w:val="1"/>
          <w:sz w:val="24"/>
          <w:szCs w:val="24"/>
          <w:lang w:val="fr-FR"/>
        </w:rPr>
      </w:pP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Ciubotaru AD, </w:t>
      </w:r>
      <w:r w:rsidRPr="00A367E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Leferman CE</w:t>
      </w: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Ignat B-E, Knieling A, Esanu IM, Salaru DL, Foia LG, Minea B, Hritcu LD, Dimitriu CD, et al. Behavioral and Biochemical Insights into the Therapeutic Potential of Mitocurcumin in a Zebrafish–Pentylenetetrazole (PTZ) Epilepsy Model. </w:t>
      </w:r>
      <w:r w:rsidRPr="00A367E2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Pharmaceuticals</w:t>
      </w: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2025; 18(3):382. </w:t>
      </w:r>
      <w:hyperlink r:id="rId7" w:history="1">
        <w:r w:rsidRPr="00A367E2">
          <w:rPr>
            <w:rStyle w:val="Hyperlink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https://doi.org/10.3390/ph18030382</w:t>
        </w:r>
      </w:hyperlink>
      <w:r w:rsidRPr="00A367E2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, IF – 4.8 (2024)</w:t>
      </w:r>
    </w:p>
    <w:p w:rsidR="00A367E2" w:rsidRPr="00A367E2" w:rsidRDefault="00A367E2" w:rsidP="00A367E2">
      <w:pPr>
        <w:pStyle w:val="BodyText"/>
        <w:numPr>
          <w:ilvl w:val="0"/>
          <w:numId w:val="1"/>
        </w:numPr>
        <w:tabs>
          <w:tab w:val="left" w:pos="2745"/>
        </w:tabs>
        <w:spacing w:line="360" w:lineRule="auto"/>
        <w:ind w:right="330"/>
        <w:jc w:val="both"/>
        <w:rPr>
          <w:rFonts w:ascii="Times New Roman" w:hAnsi="Times New Roman" w:cs="Times New Roman"/>
          <w:color w:val="000000" w:themeColor="text1"/>
          <w:spacing w:val="-6"/>
          <w:position w:val="1"/>
          <w:sz w:val="24"/>
          <w:szCs w:val="24"/>
          <w:lang w:val="fr-FR"/>
        </w:rPr>
      </w:pP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Ciubotaru AD, </w:t>
      </w:r>
      <w:r w:rsidRPr="00A367E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fr-FR"/>
        </w:rPr>
        <w:t>Leferman</w:t>
      </w: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Pr="00A367E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fr-FR"/>
        </w:rPr>
        <w:t>CE</w:t>
      </w: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, Ignat B-E, Knieling A, Salaru DL, Turliuc DM, Foia LG, Dima L, Minea B, Hritcu LD, et al. </w:t>
      </w: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Anti-Epileptic Activity of Mitocurcumin in a Zebrafish–Pentylenetetrazole (PTZ) Epilepsy Model. </w:t>
      </w:r>
      <w:r w:rsidRPr="00A367E2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Pharmaceuticals</w:t>
      </w:r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2024; 17(12):1611. </w:t>
      </w:r>
      <w:hyperlink r:id="rId8" w:history="1">
        <w:r w:rsidRPr="00A367E2">
          <w:rPr>
            <w:rStyle w:val="Hyperlink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https://doi.org/10.3390/ph17121611</w:t>
        </w:r>
      </w:hyperlink>
      <w:r w:rsidRPr="00A367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IF – 4.8 (2024)</w:t>
      </w:r>
    </w:p>
    <w:p w:rsidR="00C073F9" w:rsidRPr="00C073F9" w:rsidRDefault="00C073F9" w:rsidP="00C073F9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fr-FR"/>
        </w:rPr>
      </w:pPr>
      <w:r w:rsidRPr="00C073F9">
        <w:rPr>
          <w:lang w:val="fr-FR"/>
        </w:rPr>
        <w:t xml:space="preserve">Ciubotaru AD, Stoica L, Foia LG, Toma V, Salaru L, </w:t>
      </w:r>
      <w:r w:rsidRPr="00C073F9">
        <w:rPr>
          <w:b/>
          <w:lang w:val="fr-FR"/>
        </w:rPr>
        <w:t>Leferman CE</w:t>
      </w:r>
      <w:r w:rsidRPr="00C073F9">
        <w:rPr>
          <w:lang w:val="fr-FR"/>
        </w:rPr>
        <w:t>, et al.</w:t>
      </w:r>
    </w:p>
    <w:p w:rsidR="00C073F9" w:rsidRPr="00C073F9" w:rsidRDefault="00C073F9" w:rsidP="00C073F9">
      <w:pPr>
        <w:pStyle w:val="ListParagraph"/>
        <w:spacing w:line="360" w:lineRule="auto"/>
        <w:ind w:left="1416"/>
        <w:rPr>
          <w:lang w:val="en-US"/>
        </w:rPr>
      </w:pPr>
      <w:r w:rsidRPr="00C073F9">
        <w:rPr>
          <w:lang w:val="en-US"/>
        </w:rPr>
        <w:t xml:space="preserve">Investigation of the antioxidant capacity of thiol-containing compound using the photochemiluminescence technique. 2023;15. </w:t>
      </w:r>
    </w:p>
    <w:bookmarkStart w:id="1" w:name="_Hlk168399149"/>
    <w:p w:rsidR="00C073F9" w:rsidRPr="00A367E2" w:rsidRDefault="00C073F9" w:rsidP="00C073F9">
      <w:pPr>
        <w:pStyle w:val="ListParagraph"/>
        <w:spacing w:line="360" w:lineRule="auto"/>
        <w:ind w:left="1416"/>
        <w:rPr>
          <w:color w:val="0070C0"/>
          <w:lang w:val="en-US"/>
        </w:rPr>
      </w:pPr>
      <w:r w:rsidRPr="00A367E2">
        <w:rPr>
          <w:color w:val="0070C0"/>
        </w:rPr>
        <w:fldChar w:fldCharType="begin"/>
      </w:r>
      <w:r w:rsidRPr="00A367E2">
        <w:rPr>
          <w:color w:val="0070C0"/>
        </w:rPr>
        <w:instrText xml:space="preserve"> HYPERLINK "http://rjor.ro/wp-content/uploads/2023/12/INVESTIGATION-OF-THE-ANTIOXIDANT-CAPACITY-OF-THIOL-CONTAINING-COMPOUNDS-USING-THE-PHOTOCHEMILUMINESCENCE-TECHNIQUE.pdf" </w:instrText>
      </w:r>
      <w:r w:rsidRPr="00A367E2">
        <w:rPr>
          <w:color w:val="0070C0"/>
        </w:rPr>
        <w:fldChar w:fldCharType="separate"/>
      </w:r>
      <w:r w:rsidRPr="00A367E2">
        <w:rPr>
          <w:rStyle w:val="Hyperlink"/>
          <w:color w:val="0070C0"/>
        </w:rPr>
        <w:t>http://rjor.ro/wp-content/uploads/2023/12/INVESTIGATION-OF-THE-ANTIOXIDANT-CAPACITY-OF-THIOL-CONTAINING-COMPOUNDS-USING-THE-PHOTOCHEMILUMINESCENCE-TECHNIQUE.pdf</w:t>
      </w:r>
      <w:r w:rsidRPr="00A367E2">
        <w:rPr>
          <w:color w:val="0070C0"/>
        </w:rPr>
        <w:fldChar w:fldCharType="end"/>
      </w:r>
    </w:p>
    <w:bookmarkEnd w:id="1"/>
    <w:p w:rsidR="00A367E2" w:rsidRDefault="00C073F9" w:rsidP="00A367E2">
      <w:pPr>
        <w:pStyle w:val="ListParagraph"/>
        <w:spacing w:line="360" w:lineRule="auto"/>
        <w:ind w:left="1416"/>
        <w:rPr>
          <w:lang w:val="en-US"/>
        </w:rPr>
      </w:pPr>
      <w:r w:rsidRPr="00C073F9">
        <w:rPr>
          <w:lang w:val="en-US"/>
        </w:rPr>
        <w:t>IF – 0.7 (2023)</w:t>
      </w:r>
      <w:bookmarkStart w:id="2" w:name="_Hlk219314614"/>
      <w:bookmarkStart w:id="3" w:name="_Hlk219314578"/>
    </w:p>
    <w:bookmarkEnd w:id="2"/>
    <w:bookmarkEnd w:id="3"/>
    <w:p w:rsidR="00A367E2" w:rsidRPr="00C073F9" w:rsidRDefault="00A367E2" w:rsidP="00C073F9">
      <w:pPr>
        <w:pStyle w:val="ListParagraph"/>
        <w:spacing w:line="360" w:lineRule="auto"/>
        <w:ind w:left="1416"/>
        <w:rPr>
          <w:lang w:val="en-US"/>
        </w:rPr>
      </w:pPr>
    </w:p>
    <w:p w:rsidR="00C073F9" w:rsidRPr="00C073F9" w:rsidRDefault="00C073F9" w:rsidP="00C073F9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en-US"/>
        </w:rPr>
      </w:pPr>
      <w:r w:rsidRPr="00C073F9">
        <w:rPr>
          <w:b/>
          <w:lang w:val="en-US"/>
        </w:rPr>
        <w:lastRenderedPageBreak/>
        <w:t>Leferman CE</w:t>
      </w:r>
      <w:r w:rsidRPr="00C073F9">
        <w:rPr>
          <w:lang w:val="en-US"/>
        </w:rPr>
        <w:t>, Stoica L, Tiglis M, Stoica BA, Hancianu M, Ciubotaru AD, et al.</w:t>
      </w:r>
    </w:p>
    <w:p w:rsidR="00C073F9" w:rsidRPr="00C073F9" w:rsidRDefault="00C073F9" w:rsidP="00C073F9">
      <w:pPr>
        <w:pStyle w:val="ListParagraph"/>
        <w:spacing w:line="360" w:lineRule="auto"/>
        <w:ind w:left="1416"/>
        <w:rPr>
          <w:lang w:val="en-US"/>
        </w:rPr>
      </w:pPr>
      <w:r w:rsidRPr="00C073F9">
        <w:rPr>
          <w:lang w:val="en-US"/>
        </w:rPr>
        <w:t xml:space="preserve">Overcoming Drug Resistance in a Clinical C. albicans Strain Using Photoactivated Curcumin as an Adjuvant. Antibiotics. 2023 Aug;12(8):1230. </w:t>
      </w:r>
    </w:p>
    <w:p w:rsidR="00C073F9" w:rsidRPr="00C073F9" w:rsidRDefault="001E72FE" w:rsidP="00C073F9">
      <w:pPr>
        <w:pStyle w:val="ListParagraph"/>
        <w:spacing w:line="360" w:lineRule="auto"/>
        <w:ind w:left="1416"/>
        <w:rPr>
          <w:lang w:val="en-US"/>
        </w:rPr>
      </w:pPr>
      <w:hyperlink r:id="rId9" w:history="1">
        <w:r w:rsidR="00C073F9" w:rsidRPr="00A367E2">
          <w:rPr>
            <w:rStyle w:val="Hyperlink"/>
            <w:color w:val="0070C0"/>
            <w:lang w:val="en-US"/>
          </w:rPr>
          <w:t>https://www.mdpi.com/2079-6382/12/8/1230</w:t>
        </w:r>
      </w:hyperlink>
      <w:r w:rsidR="00C073F9" w:rsidRPr="00A367E2">
        <w:rPr>
          <w:color w:val="0070C0"/>
          <w:lang w:val="en-US"/>
        </w:rPr>
        <w:t xml:space="preserve"> </w:t>
      </w:r>
    </w:p>
    <w:p w:rsidR="00C073F9" w:rsidRPr="00C073F9" w:rsidRDefault="00C073F9" w:rsidP="00C073F9">
      <w:pPr>
        <w:pStyle w:val="ListParagraph"/>
        <w:spacing w:line="360" w:lineRule="auto"/>
        <w:ind w:left="1416"/>
        <w:rPr>
          <w:lang w:val="en-US"/>
        </w:rPr>
      </w:pPr>
      <w:r w:rsidRPr="00C073F9">
        <w:rPr>
          <w:lang w:val="en-US"/>
        </w:rPr>
        <w:t>IF- 4,</w:t>
      </w:r>
      <w:r w:rsidR="00D00FC1">
        <w:rPr>
          <w:lang w:val="en-US"/>
        </w:rPr>
        <w:t>3</w:t>
      </w:r>
      <w:r w:rsidRPr="00C073F9">
        <w:rPr>
          <w:lang w:val="en-US"/>
        </w:rPr>
        <w:t xml:space="preserve"> (2023)</w:t>
      </w:r>
    </w:p>
    <w:p w:rsidR="00C073F9" w:rsidRPr="00A367E2" w:rsidRDefault="00C073F9" w:rsidP="00C073F9">
      <w:pPr>
        <w:pStyle w:val="ListParagraph"/>
        <w:numPr>
          <w:ilvl w:val="0"/>
          <w:numId w:val="1"/>
        </w:numPr>
        <w:spacing w:line="360" w:lineRule="auto"/>
        <w:contextualSpacing/>
        <w:rPr>
          <w:color w:val="0070C0"/>
          <w:lang w:val="en-US"/>
        </w:rPr>
      </w:pPr>
      <w:r w:rsidRPr="00C073F9">
        <w:rPr>
          <w:b/>
          <w:lang w:val="en-US"/>
        </w:rPr>
        <w:t>Leferman CE</w:t>
      </w:r>
      <w:r w:rsidRPr="00C073F9">
        <w:rPr>
          <w:lang w:val="en-US"/>
        </w:rPr>
        <w:t xml:space="preserve">, Stoica L, Stoica BA, Ciubotaru AD, Badescu AC, Bogdanici CM, et al. Mitochondria-Targeted Curcumin: A Potent Antibacterial Agent against Methicillin-Resistant  Staphylococcus aureus with a Possible Intracellular ROS Accumulation as the Mechanism of action. Antibiotics. 2023 Feb;12(2):401. </w:t>
      </w:r>
      <w:hyperlink r:id="rId10" w:history="1">
        <w:r w:rsidRPr="00A367E2">
          <w:rPr>
            <w:rStyle w:val="Hyperlink"/>
            <w:color w:val="0070C0"/>
            <w:lang w:val="en-US"/>
          </w:rPr>
          <w:t>https://www.mdpi.com/2079-6382/12/2/401</w:t>
        </w:r>
      </w:hyperlink>
    </w:p>
    <w:p w:rsidR="00C073F9" w:rsidRPr="00C073F9" w:rsidRDefault="00C073F9" w:rsidP="00C073F9">
      <w:pPr>
        <w:pStyle w:val="ListParagraph"/>
        <w:spacing w:line="360" w:lineRule="auto"/>
        <w:ind w:left="1416"/>
        <w:rPr>
          <w:lang w:val="en-US"/>
        </w:rPr>
      </w:pPr>
      <w:r w:rsidRPr="00C073F9">
        <w:rPr>
          <w:lang w:val="en-US"/>
        </w:rPr>
        <w:t>IF- 4,</w:t>
      </w:r>
      <w:r w:rsidR="00D00FC1">
        <w:rPr>
          <w:lang w:val="en-US"/>
        </w:rPr>
        <w:t>3</w:t>
      </w:r>
      <w:r w:rsidRPr="00C073F9">
        <w:rPr>
          <w:lang w:val="en-US"/>
        </w:rPr>
        <w:t xml:space="preserve"> (2023).</w:t>
      </w:r>
    </w:p>
    <w:p w:rsidR="00C073F9" w:rsidRPr="00C073F9" w:rsidRDefault="00C073F9" w:rsidP="00C073F9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en-US"/>
        </w:rPr>
      </w:pPr>
      <w:r w:rsidRPr="00C073F9">
        <w:rPr>
          <w:b/>
          <w:lang w:val="en-US"/>
        </w:rPr>
        <w:t>Leferman CE</w:t>
      </w:r>
      <w:r w:rsidRPr="00C073F9">
        <w:rPr>
          <w:lang w:val="en-US"/>
        </w:rPr>
        <w:t>, Ciubotaru AD, Ghiciuc CM, Stoica BA, Gradinaru I. A systematic</w:t>
      </w:r>
    </w:p>
    <w:p w:rsidR="00C073F9" w:rsidRPr="00C073F9" w:rsidRDefault="00C073F9" w:rsidP="00C073F9">
      <w:pPr>
        <w:pStyle w:val="ListParagraph"/>
        <w:spacing w:line="360" w:lineRule="auto"/>
        <w:ind w:left="1416"/>
        <w:rPr>
          <w:lang w:val="en-US"/>
        </w:rPr>
      </w:pPr>
      <w:r w:rsidRPr="00C073F9">
        <w:rPr>
          <w:lang w:val="en-US"/>
        </w:rPr>
        <w:t xml:space="preserve">review oforbital apex syndrome of odontogenic origin: Proposed algorithm for treatment. European Journal of Ophthalmology. 2021 Jan 1;31(1):34–41. </w:t>
      </w:r>
      <w:hyperlink r:id="rId11" w:history="1">
        <w:r w:rsidRPr="00A367E2">
          <w:rPr>
            <w:rStyle w:val="Hyperlink"/>
            <w:color w:val="0070C0"/>
            <w:lang w:val="en-US"/>
          </w:rPr>
          <w:t>https://journals.sagepub.com/doi/10.1177/1120672120954042?url_ver=Z39.88-2003&amp;rfr_id=ori:rid:crossref.org&amp;rfr_dat=cr_pub%20%200pubmed</w:t>
        </w:r>
      </w:hyperlink>
      <w:r w:rsidRPr="00A367E2">
        <w:rPr>
          <w:color w:val="0070C0"/>
          <w:lang w:val="en-US"/>
        </w:rPr>
        <w:t xml:space="preserve"> </w:t>
      </w:r>
    </w:p>
    <w:p w:rsidR="00A367E2" w:rsidRPr="0038354C" w:rsidRDefault="00C073F9" w:rsidP="0038354C">
      <w:pPr>
        <w:pStyle w:val="ListParagraph"/>
        <w:spacing w:line="360" w:lineRule="auto"/>
        <w:ind w:left="1416"/>
        <w:rPr>
          <w:lang w:val="en-US"/>
        </w:rPr>
      </w:pPr>
      <w:r w:rsidRPr="00C073F9">
        <w:rPr>
          <w:lang w:val="en-US"/>
        </w:rPr>
        <w:t xml:space="preserve">IF – </w:t>
      </w:r>
      <w:r w:rsidR="00D00FC1">
        <w:rPr>
          <w:lang w:val="en-US"/>
        </w:rPr>
        <w:t>1</w:t>
      </w:r>
      <w:r w:rsidRPr="00C073F9">
        <w:rPr>
          <w:lang w:val="en-US"/>
        </w:rPr>
        <w:t>,</w:t>
      </w:r>
      <w:r w:rsidR="00D00FC1">
        <w:rPr>
          <w:lang w:val="en-US"/>
        </w:rPr>
        <w:t>9</w:t>
      </w:r>
      <w:r w:rsidRPr="00C073F9">
        <w:rPr>
          <w:lang w:val="en-US"/>
        </w:rPr>
        <w:t xml:space="preserve"> (2021).</w:t>
      </w:r>
      <w:bookmarkEnd w:id="0"/>
    </w:p>
    <w:p w:rsidR="00C073F9" w:rsidRPr="00C073F9" w:rsidRDefault="00C073F9" w:rsidP="00C073F9">
      <w:pPr>
        <w:pStyle w:val="ListParagraph"/>
        <w:spacing w:line="360" w:lineRule="auto"/>
        <w:ind w:left="1416"/>
        <w:rPr>
          <w:lang w:val="en-US"/>
        </w:rPr>
      </w:pPr>
    </w:p>
    <w:p w:rsidR="00C073F9" w:rsidRDefault="00C073F9" w:rsidP="0038354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22" w:lineRule="exact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073F9">
        <w:rPr>
          <w:rFonts w:ascii="Times New Roman" w:hAnsi="Times New Roman" w:cs="Times New Roman"/>
          <w:spacing w:val="-2"/>
          <w:sz w:val="24"/>
          <w:szCs w:val="24"/>
        </w:rPr>
        <w:t>Articole</w:t>
      </w:r>
      <w:r w:rsidRPr="00C073F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20"/>
          <w:sz w:val="24"/>
          <w:szCs w:val="24"/>
        </w:rPr>
        <w:t>pub</w:t>
      </w:r>
      <w:r w:rsidRPr="00C073F9">
        <w:rPr>
          <w:rFonts w:ascii="Times New Roman" w:hAnsi="Times New Roman" w:cs="Times New Roman"/>
          <w:sz w:val="24"/>
          <w:szCs w:val="24"/>
        </w:rPr>
        <w:t>licate</w:t>
      </w:r>
      <w:r w:rsidRPr="00C073F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C073F9">
        <w:rPr>
          <w:rFonts w:ascii="Times New Roman" w:hAnsi="Times New Roman" w:cs="Times New Roman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x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073F9">
        <w:rPr>
          <w:rFonts w:ascii="Times New Roman" w:hAnsi="Times New Roman" w:cs="Times New Roman"/>
          <w:sz w:val="24"/>
          <w:szCs w:val="24"/>
        </w:rPr>
        <w:t>o</w:t>
      </w:r>
      <w:r w:rsidRPr="00C073F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 xml:space="preserve">în </w:t>
      </w:r>
      <w:r w:rsidRPr="00C073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073F9">
        <w:rPr>
          <w:rFonts w:ascii="Times New Roman" w:hAnsi="Times New Roman" w:cs="Times New Roman"/>
          <w:sz w:val="24"/>
          <w:szCs w:val="24"/>
        </w:rPr>
        <w:t>v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73F9">
        <w:rPr>
          <w:rFonts w:ascii="Times New Roman" w:hAnsi="Times New Roman" w:cs="Times New Roman"/>
          <w:sz w:val="24"/>
          <w:szCs w:val="24"/>
        </w:rPr>
        <w:t>u</w:t>
      </w:r>
      <w:r w:rsidRPr="00C073F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v</w:t>
      </w:r>
      <w:r w:rsidRPr="00C073F9">
        <w:rPr>
          <w:rFonts w:ascii="Times New Roman" w:hAnsi="Times New Roman" w:cs="Times New Roman"/>
          <w:spacing w:val="8"/>
          <w:sz w:val="24"/>
          <w:szCs w:val="24"/>
        </w:rPr>
        <w:t>o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l</w:t>
      </w:r>
      <w:r w:rsidRPr="00C073F9">
        <w:rPr>
          <w:rFonts w:ascii="Times New Roman" w:hAnsi="Times New Roman" w:cs="Times New Roman"/>
          <w:spacing w:val="8"/>
          <w:sz w:val="24"/>
          <w:szCs w:val="24"/>
        </w:rPr>
        <w:t>u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m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C073F9">
        <w:rPr>
          <w:rFonts w:ascii="Times New Roman" w:hAnsi="Times New Roman" w:cs="Times New Roman"/>
          <w:sz w:val="24"/>
          <w:szCs w:val="24"/>
        </w:rPr>
        <w:t>e u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073F9">
        <w:rPr>
          <w:rFonts w:ascii="Times New Roman" w:hAnsi="Times New Roman" w:cs="Times New Roman"/>
          <w:sz w:val="24"/>
          <w:szCs w:val="24"/>
        </w:rPr>
        <w:t xml:space="preserve">r </w:t>
      </w:r>
      <w:r w:rsidRPr="00C073F9">
        <w:rPr>
          <w:rFonts w:ascii="Times New Roman" w:hAnsi="Times New Roman" w:cs="Times New Roman"/>
          <w:spacing w:val="-5"/>
          <w:sz w:val="24"/>
          <w:szCs w:val="24"/>
        </w:rPr>
        <w:t>c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073F9">
        <w:rPr>
          <w:rFonts w:ascii="Times New Roman" w:hAnsi="Times New Roman" w:cs="Times New Roman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-7"/>
          <w:sz w:val="24"/>
          <w:szCs w:val="24"/>
        </w:rPr>
        <w:t>f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ț</w:t>
      </w:r>
      <w:r w:rsidRPr="00C073F9">
        <w:rPr>
          <w:rFonts w:ascii="Times New Roman" w:hAnsi="Times New Roman" w:cs="Times New Roman"/>
          <w:sz w:val="24"/>
          <w:szCs w:val="24"/>
        </w:rPr>
        <w:t xml:space="preserve">e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73F9">
        <w:rPr>
          <w:rFonts w:ascii="Times New Roman" w:hAnsi="Times New Roman" w:cs="Times New Roman"/>
          <w:spacing w:val="8"/>
          <w:sz w:val="24"/>
          <w:szCs w:val="24"/>
        </w:rPr>
        <w:t>ț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a</w:t>
      </w:r>
      <w:r w:rsidRPr="00C073F9">
        <w:rPr>
          <w:rFonts w:ascii="Times New Roman" w:hAnsi="Times New Roman" w:cs="Times New Roman"/>
          <w:sz w:val="24"/>
          <w:szCs w:val="24"/>
        </w:rPr>
        <w:t>le,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C073F9">
        <w:rPr>
          <w:rFonts w:ascii="Times New Roman" w:hAnsi="Times New Roman" w:cs="Times New Roman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d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x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C073F9">
        <w:rPr>
          <w:rFonts w:ascii="Times New Roman" w:hAnsi="Times New Roman" w:cs="Times New Roman"/>
          <w:sz w:val="24"/>
          <w:szCs w:val="24"/>
        </w:rPr>
        <w:t>DI</w:t>
      </w:r>
      <w:r w:rsidRPr="00C073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 xml:space="preserve">ca autor principal (ultim/prim/corespondent) </w:t>
      </w:r>
    </w:p>
    <w:p w:rsidR="00C073F9" w:rsidRPr="00A402F4" w:rsidRDefault="00C073F9" w:rsidP="00C073F9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22" w:lineRule="exact"/>
        <w:ind w:left="708" w:right="-20"/>
        <w:jc w:val="both"/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</w:pPr>
    </w:p>
    <w:p w:rsidR="00A402F4" w:rsidRPr="00A402F4" w:rsidRDefault="00A367E2" w:rsidP="00A367E2">
      <w:pPr>
        <w:pStyle w:val="ListParagraph"/>
        <w:numPr>
          <w:ilvl w:val="0"/>
          <w:numId w:val="3"/>
        </w:numPr>
        <w:spacing w:line="360" w:lineRule="auto"/>
        <w:contextualSpacing/>
        <w:rPr>
          <w:color w:val="000000" w:themeColor="text1"/>
          <w:lang w:val="en-US"/>
        </w:rPr>
      </w:pPr>
      <w:bookmarkStart w:id="4" w:name="_Hlk219442924"/>
      <w:r w:rsidRPr="00A402F4">
        <w:rPr>
          <w:b/>
          <w:color w:val="000000" w:themeColor="text1"/>
          <w:spacing w:val="-6"/>
          <w:position w:val="1"/>
          <w:lang w:val="en-US"/>
        </w:rPr>
        <w:t>Leferman CE</w:t>
      </w:r>
      <w:r w:rsidRPr="00A402F4">
        <w:rPr>
          <w:color w:val="000000" w:themeColor="text1"/>
          <w:spacing w:val="-6"/>
          <w:position w:val="1"/>
          <w:lang w:val="en-US"/>
        </w:rPr>
        <w:t>, Ciubotaru AD. Ocular gene therapy as a sustained drug delivery system: pharmacokinetic and genokinetic perspectives. J Med Life. 2025;18(11):984-993. doi:10.25122/jml-2025-0180</w:t>
      </w:r>
      <w:r w:rsidR="00F91423" w:rsidRPr="00A402F4">
        <w:rPr>
          <w:color w:val="000000" w:themeColor="text1"/>
          <w:spacing w:val="-6"/>
          <w:position w:val="1"/>
          <w:lang w:val="en-US"/>
        </w:rPr>
        <w:t>.</w:t>
      </w:r>
    </w:p>
    <w:p w:rsidR="00A367E2" w:rsidRPr="00F91423" w:rsidRDefault="00F91423" w:rsidP="00A402F4">
      <w:pPr>
        <w:pStyle w:val="ListParagraph"/>
        <w:spacing w:line="360" w:lineRule="auto"/>
        <w:ind w:left="1068"/>
        <w:contextualSpacing/>
        <w:rPr>
          <w:color w:val="0070C0"/>
          <w:lang w:val="en-US"/>
        </w:rPr>
      </w:pPr>
      <w:r w:rsidRPr="00F91423">
        <w:t xml:space="preserve"> </w:t>
      </w:r>
      <w:bookmarkStart w:id="5" w:name="_Hlk219390441"/>
      <w:r w:rsidR="00203DF3">
        <w:fldChar w:fldCharType="begin"/>
      </w:r>
      <w:r w:rsidR="00203DF3">
        <w:instrText xml:space="preserve"> HYPERLINK "https://medandlife.org/category/all-issues/2025/issue-11-2025/review-issue-11-2025/" </w:instrText>
      </w:r>
      <w:r w:rsidR="00203DF3">
        <w:fldChar w:fldCharType="separate"/>
      </w:r>
      <w:r w:rsidRPr="00F91423">
        <w:rPr>
          <w:rStyle w:val="Hyperlink"/>
          <w:color w:val="0070C0"/>
          <w:sz w:val="22"/>
          <w:lang w:val="en-US"/>
        </w:rPr>
        <w:t>https://medandlife.org/category/all-issues/2025/issue-11-2025/review-issue-11-2025/</w:t>
      </w:r>
      <w:r w:rsidR="00203DF3">
        <w:rPr>
          <w:rStyle w:val="Hyperlink"/>
          <w:color w:val="0070C0"/>
          <w:sz w:val="22"/>
          <w:lang w:val="en-US"/>
        </w:rPr>
        <w:fldChar w:fldCharType="end"/>
      </w:r>
    </w:p>
    <w:p w:rsidR="00C073F9" w:rsidRPr="00C073F9" w:rsidRDefault="00C073F9" w:rsidP="00C073F9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rebuchet MS" w:hAnsi="Times New Roman" w:cs="Times New Roman"/>
          <w:sz w:val="24"/>
          <w:szCs w:val="24"/>
          <w:lang w:bidi="en-GB"/>
        </w:rPr>
      </w:pPr>
      <w:bookmarkStart w:id="6" w:name="_Hlk219442992"/>
      <w:bookmarkEnd w:id="5"/>
      <w:bookmarkEnd w:id="4"/>
      <w:r w:rsidRPr="00C073F9">
        <w:rPr>
          <w:rFonts w:ascii="Times New Roman" w:eastAsia="Trebuchet MS" w:hAnsi="Times New Roman" w:cs="Times New Roman"/>
          <w:sz w:val="24"/>
          <w:szCs w:val="24"/>
        </w:rPr>
        <w:t xml:space="preserve">Ciubotaru AD, </w:t>
      </w:r>
      <w:r w:rsidRPr="00C073F9">
        <w:rPr>
          <w:rFonts w:ascii="Times New Roman" w:eastAsia="Trebuchet MS" w:hAnsi="Times New Roman" w:cs="Times New Roman"/>
          <w:b/>
          <w:sz w:val="24"/>
          <w:szCs w:val="24"/>
        </w:rPr>
        <w:t>Leferman CE</w:t>
      </w:r>
      <w:r w:rsidRPr="00C073F9">
        <w:rPr>
          <w:rFonts w:ascii="Times New Roman" w:eastAsia="Trebuchet MS" w:hAnsi="Times New Roman" w:cs="Times New Roman"/>
          <w:sz w:val="24"/>
          <w:szCs w:val="24"/>
        </w:rPr>
        <w:t xml:space="preserve">, Foia C, Minea B, Goriuc A, Cioloca D. Pharmacological versus psychological treatment in odontophobia : the right approach. </w:t>
      </w:r>
      <w:r w:rsidRPr="00C073F9">
        <w:rPr>
          <w:rFonts w:ascii="Times New Roman" w:eastAsia="Trebuchet MS" w:hAnsi="Times New Roman" w:cs="Times New Roman"/>
          <w:sz w:val="24"/>
          <w:szCs w:val="24"/>
          <w:lang w:bidi="en-GB"/>
        </w:rPr>
        <w:t xml:space="preserve">2023;12(6). </w:t>
      </w:r>
    </w:p>
    <w:bookmarkStart w:id="7" w:name="_Hlk219390464"/>
    <w:p w:rsidR="00C073F9" w:rsidRPr="00A367E2" w:rsidRDefault="00203DF3" w:rsidP="00C073F9">
      <w:pPr>
        <w:spacing w:line="360" w:lineRule="auto"/>
        <w:ind w:left="1068"/>
        <w:contextualSpacing/>
        <w:rPr>
          <w:rFonts w:ascii="Times New Roman" w:eastAsia="Trebuchet MS" w:hAnsi="Times New Roman" w:cs="Times New Roman"/>
          <w:color w:val="0070C0"/>
          <w:sz w:val="24"/>
          <w:szCs w:val="24"/>
          <w:lang w:bidi="en-GB"/>
        </w:rPr>
      </w:pPr>
      <w:r>
        <w:fldChar w:fldCharType="begin"/>
      </w:r>
      <w:r>
        <w:instrText xml:space="preserve"> HYPERLINK "https://journal.adre.ro/pharmacological-versus-psychological-treatment-in-odontophobia-the-right-approach/" </w:instrText>
      </w:r>
      <w:r>
        <w:fldChar w:fldCharType="separate"/>
      </w:r>
      <w:r w:rsidR="00C073F9" w:rsidRPr="00A367E2">
        <w:rPr>
          <w:rStyle w:val="Hyperlink"/>
          <w:rFonts w:ascii="Times New Roman" w:hAnsi="Times New Roman" w:cs="Times New Roman"/>
          <w:color w:val="0070C0"/>
          <w:sz w:val="24"/>
          <w:szCs w:val="24"/>
        </w:rPr>
        <w:t>https://journal.adre.ro/pharmacological-versus-psychological-treatment-in-odontophobia-the-right-approach/</w:t>
      </w:r>
      <w:r>
        <w:rPr>
          <w:rStyle w:val="Hyperlink"/>
          <w:rFonts w:ascii="Times New Roman" w:hAnsi="Times New Roman" w:cs="Times New Roman"/>
          <w:color w:val="0070C0"/>
          <w:sz w:val="24"/>
          <w:szCs w:val="24"/>
        </w:rPr>
        <w:fldChar w:fldCharType="end"/>
      </w:r>
    </w:p>
    <w:p w:rsidR="00C073F9" w:rsidRPr="00C073F9" w:rsidRDefault="00C073F9" w:rsidP="00C073F9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rebuchet MS" w:hAnsi="Times New Roman" w:cs="Times New Roman"/>
          <w:sz w:val="24"/>
          <w:szCs w:val="24"/>
          <w:lang w:bidi="en-GB"/>
        </w:rPr>
      </w:pPr>
      <w:bookmarkStart w:id="8" w:name="_Hlk219443173"/>
      <w:bookmarkEnd w:id="7"/>
      <w:bookmarkEnd w:id="6"/>
      <w:r w:rsidRPr="00C073F9">
        <w:rPr>
          <w:rFonts w:ascii="Times New Roman" w:eastAsia="Trebuchet MS" w:hAnsi="Times New Roman" w:cs="Times New Roman"/>
          <w:sz w:val="24"/>
          <w:szCs w:val="24"/>
          <w:lang w:bidi="en-GB"/>
        </w:rPr>
        <w:t xml:space="preserve">Ciubotaru AD, </w:t>
      </w:r>
      <w:r w:rsidRPr="00C073F9">
        <w:rPr>
          <w:rFonts w:ascii="Times New Roman" w:eastAsia="Trebuchet MS" w:hAnsi="Times New Roman" w:cs="Times New Roman"/>
          <w:b/>
          <w:sz w:val="24"/>
          <w:szCs w:val="24"/>
          <w:lang w:bidi="en-GB"/>
        </w:rPr>
        <w:t>Leferman CE</w:t>
      </w:r>
      <w:r w:rsidRPr="00C073F9">
        <w:rPr>
          <w:rFonts w:ascii="Times New Roman" w:eastAsia="Trebuchet MS" w:hAnsi="Times New Roman" w:cs="Times New Roman"/>
          <w:sz w:val="24"/>
          <w:szCs w:val="24"/>
          <w:lang w:bidi="en-GB"/>
        </w:rPr>
        <w:t xml:space="preserve">, Bădescu C, Ciuca A, Cioloca D, Vlad CE, et al. Dental treatment planning in diabetic patients. 2023;12(6). </w:t>
      </w:r>
    </w:p>
    <w:bookmarkStart w:id="9" w:name="_Hlk219390481"/>
    <w:p w:rsidR="00C073F9" w:rsidRPr="00A367E2" w:rsidRDefault="00203DF3" w:rsidP="00C073F9">
      <w:pPr>
        <w:spacing w:line="360" w:lineRule="auto"/>
        <w:ind w:left="1068"/>
        <w:contextualSpacing/>
        <w:rPr>
          <w:rFonts w:ascii="Times New Roman" w:eastAsia="Trebuchet MS" w:hAnsi="Times New Roman" w:cs="Times New Roman"/>
          <w:color w:val="0070C0"/>
          <w:sz w:val="24"/>
          <w:szCs w:val="24"/>
          <w:lang w:bidi="en-GB"/>
        </w:rPr>
      </w:pPr>
      <w:r>
        <w:fldChar w:fldCharType="begin"/>
      </w:r>
      <w:r>
        <w:instrText xml:space="preserve"> HYPERLINK "https://journal.adre.ro/dental-treatment-planning-in-diabetic-patients/" </w:instrText>
      </w:r>
      <w:r>
        <w:fldChar w:fldCharType="separate"/>
      </w:r>
      <w:r w:rsidR="00C073F9" w:rsidRPr="00A367E2">
        <w:rPr>
          <w:rStyle w:val="Hyperlink"/>
          <w:rFonts w:ascii="Times New Roman" w:hAnsi="Times New Roman" w:cs="Times New Roman"/>
          <w:color w:val="0070C0"/>
          <w:sz w:val="24"/>
          <w:szCs w:val="24"/>
          <w:lang w:val="it-IT"/>
        </w:rPr>
        <w:t>https://journal.adre.ro/dental-treatment-planning-in-diabetic-patients/</w:t>
      </w:r>
      <w:r>
        <w:rPr>
          <w:rStyle w:val="Hyperlink"/>
          <w:rFonts w:ascii="Times New Roman" w:hAnsi="Times New Roman" w:cs="Times New Roman"/>
          <w:color w:val="0070C0"/>
          <w:sz w:val="24"/>
          <w:szCs w:val="24"/>
          <w:lang w:val="it-IT"/>
        </w:rPr>
        <w:fldChar w:fldCharType="end"/>
      </w:r>
    </w:p>
    <w:p w:rsidR="00C073F9" w:rsidRPr="00C073F9" w:rsidRDefault="00C073F9" w:rsidP="00C073F9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rebuchet MS" w:hAnsi="Times New Roman" w:cs="Times New Roman"/>
          <w:sz w:val="24"/>
          <w:szCs w:val="24"/>
          <w:lang w:bidi="en-GB"/>
        </w:rPr>
      </w:pPr>
      <w:bookmarkStart w:id="10" w:name="_Hlk219443253"/>
      <w:bookmarkEnd w:id="9"/>
      <w:bookmarkEnd w:id="8"/>
      <w:r w:rsidRPr="00C073F9">
        <w:rPr>
          <w:rFonts w:ascii="Times New Roman" w:eastAsia="Trebuchet MS" w:hAnsi="Times New Roman" w:cs="Times New Roman"/>
          <w:sz w:val="24"/>
          <w:szCs w:val="24"/>
          <w:lang w:bidi="en-GB"/>
        </w:rPr>
        <w:lastRenderedPageBreak/>
        <w:t xml:space="preserve">Alexa AI, </w:t>
      </w:r>
      <w:r w:rsidRPr="00C073F9">
        <w:rPr>
          <w:rFonts w:ascii="Times New Roman" w:eastAsia="Trebuchet MS" w:hAnsi="Times New Roman" w:cs="Times New Roman"/>
          <w:b/>
          <w:sz w:val="24"/>
          <w:szCs w:val="24"/>
          <w:lang w:bidi="en-GB"/>
        </w:rPr>
        <w:t>Leferman CE</w:t>
      </w:r>
      <w:r w:rsidRPr="00C073F9">
        <w:rPr>
          <w:rFonts w:ascii="Times New Roman" w:eastAsia="Trebuchet MS" w:hAnsi="Times New Roman" w:cs="Times New Roman"/>
          <w:sz w:val="24"/>
          <w:szCs w:val="24"/>
          <w:lang w:bidi="en-GB"/>
        </w:rPr>
        <w:t xml:space="preserve">, Ciubotaru AD, Sandu IA, Sandu CA, Bogdănici CM. Therapeutic challenges in epidermal inclusion cysts with periocular localization. Journal of Medicine and Life. 2023;16(10):1575. </w:t>
      </w:r>
    </w:p>
    <w:bookmarkStart w:id="11" w:name="_Hlk219390503"/>
    <w:p w:rsidR="00C073F9" w:rsidRPr="00A367E2" w:rsidRDefault="00203DF3" w:rsidP="00C073F9">
      <w:pPr>
        <w:spacing w:line="360" w:lineRule="auto"/>
        <w:ind w:left="1068"/>
        <w:contextualSpacing/>
        <w:rPr>
          <w:rFonts w:ascii="Times New Roman" w:eastAsia="Trebuchet MS" w:hAnsi="Times New Roman" w:cs="Times New Roman"/>
          <w:color w:val="0070C0"/>
          <w:sz w:val="24"/>
          <w:szCs w:val="24"/>
          <w:lang w:bidi="en-GB"/>
        </w:rPr>
      </w:pPr>
      <w:r>
        <w:fldChar w:fldCharType="begin"/>
      </w:r>
      <w:r>
        <w:instrText xml:space="preserve"> HYPERLINK "https://medandlife.org/wp-content/uploads/25.-JML-2023-0539.pdf" </w:instrText>
      </w:r>
      <w:r>
        <w:fldChar w:fldCharType="separate"/>
      </w:r>
      <w:r w:rsidR="00C073F9" w:rsidRPr="00A367E2">
        <w:rPr>
          <w:rStyle w:val="Hyperlink"/>
          <w:rFonts w:ascii="Times New Roman" w:hAnsi="Times New Roman" w:cs="Times New Roman"/>
          <w:color w:val="0070C0"/>
          <w:sz w:val="24"/>
          <w:szCs w:val="24"/>
        </w:rPr>
        <w:t>https://medandlife.org/wp-content/uploads/25.-JML-2023-0539.pdf</w:t>
      </w:r>
      <w:r>
        <w:rPr>
          <w:rStyle w:val="Hyperlink"/>
          <w:rFonts w:ascii="Times New Roman" w:hAnsi="Times New Roman" w:cs="Times New Roman"/>
          <w:color w:val="0070C0"/>
          <w:sz w:val="24"/>
          <w:szCs w:val="24"/>
        </w:rPr>
        <w:fldChar w:fldCharType="end"/>
      </w:r>
      <w:r w:rsidR="00C073F9" w:rsidRPr="00A367E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C073F9" w:rsidRPr="00C073F9" w:rsidRDefault="00C073F9" w:rsidP="00C073F9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rebuchet MS" w:hAnsi="Times New Roman" w:cs="Times New Roman"/>
          <w:sz w:val="24"/>
          <w:szCs w:val="24"/>
          <w:lang w:bidi="en-GB"/>
        </w:rPr>
      </w:pPr>
      <w:bookmarkStart w:id="12" w:name="_Hlk219443310"/>
      <w:bookmarkEnd w:id="11"/>
      <w:bookmarkEnd w:id="10"/>
      <w:r w:rsidRPr="00C073F9">
        <w:rPr>
          <w:rFonts w:ascii="Times New Roman" w:eastAsia="Trebuchet MS" w:hAnsi="Times New Roman" w:cs="Times New Roman"/>
          <w:sz w:val="24"/>
          <w:szCs w:val="24"/>
          <w:lang w:bidi="en-GB"/>
        </w:rPr>
        <w:t xml:space="preserve">Alexa AI, </w:t>
      </w:r>
      <w:r w:rsidRPr="00C073F9">
        <w:rPr>
          <w:rFonts w:ascii="Times New Roman" w:eastAsia="Trebuchet MS" w:hAnsi="Times New Roman" w:cs="Times New Roman"/>
          <w:b/>
          <w:sz w:val="24"/>
          <w:szCs w:val="24"/>
          <w:lang w:bidi="en-GB"/>
        </w:rPr>
        <w:t>Leferman CE</w:t>
      </w:r>
      <w:r w:rsidRPr="00C073F9">
        <w:rPr>
          <w:rFonts w:ascii="Times New Roman" w:eastAsia="Trebuchet MS" w:hAnsi="Times New Roman" w:cs="Times New Roman"/>
          <w:sz w:val="24"/>
          <w:szCs w:val="24"/>
          <w:lang w:bidi="en-GB"/>
        </w:rPr>
        <w:t xml:space="preserve">, Ciubotaru AD, Maștaleru A, Abdulan IM, Leon MM. Surgical management of periocular squamous cell carcinoma: case report. Journal of Medicine and Life. 2023;16(10):1571. </w:t>
      </w:r>
    </w:p>
    <w:bookmarkStart w:id="13" w:name="_Hlk219390569"/>
    <w:p w:rsidR="00C073F9" w:rsidRPr="00A367E2" w:rsidRDefault="00203DF3" w:rsidP="00C073F9">
      <w:pPr>
        <w:ind w:left="1068"/>
        <w:rPr>
          <w:rFonts w:ascii="Times New Roman" w:hAnsi="Times New Roman" w:cs="Times New Roman"/>
          <w:color w:val="0070C0"/>
          <w:sz w:val="24"/>
          <w:szCs w:val="24"/>
        </w:rPr>
      </w:pPr>
      <w:r>
        <w:fldChar w:fldCharType="begin"/>
      </w:r>
      <w:r>
        <w:instrText xml:space="preserve"> HYPERLINK "https://medandlife.org/wp-content/uploads/24.-JML-2023-0537.pdf" </w:instrText>
      </w:r>
      <w:r>
        <w:fldChar w:fldCharType="separate"/>
      </w:r>
      <w:r w:rsidR="00C073F9" w:rsidRPr="00A367E2">
        <w:rPr>
          <w:rStyle w:val="Hyperlink"/>
          <w:rFonts w:ascii="Times New Roman" w:hAnsi="Times New Roman" w:cs="Times New Roman"/>
          <w:color w:val="0070C0"/>
          <w:sz w:val="24"/>
          <w:szCs w:val="24"/>
        </w:rPr>
        <w:t>https://medandlife.org/wp-content/uploads/24.-JML-2023-0537.pdf</w:t>
      </w:r>
      <w:r>
        <w:rPr>
          <w:rStyle w:val="Hyperlink"/>
          <w:rFonts w:ascii="Times New Roman" w:hAnsi="Times New Roman" w:cs="Times New Roman"/>
          <w:color w:val="0070C0"/>
          <w:sz w:val="24"/>
          <w:szCs w:val="24"/>
        </w:rPr>
        <w:fldChar w:fldCharType="end"/>
      </w:r>
      <w:r w:rsidR="00C073F9" w:rsidRPr="00A367E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C073F9" w:rsidRPr="00C073F9" w:rsidRDefault="00C073F9" w:rsidP="00C073F9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rebuchet MS" w:hAnsi="Times New Roman" w:cs="Times New Roman"/>
          <w:sz w:val="24"/>
          <w:szCs w:val="24"/>
          <w:lang w:bidi="en-GB"/>
        </w:rPr>
      </w:pPr>
      <w:bookmarkStart w:id="14" w:name="_Hlk219443352"/>
      <w:bookmarkEnd w:id="13"/>
      <w:bookmarkEnd w:id="12"/>
      <w:r w:rsidRPr="00C073F9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Ciubotaru AD, Grigoraș C, </w:t>
      </w:r>
      <w:r w:rsidRPr="00C073F9">
        <w:rPr>
          <w:rFonts w:ascii="Times New Roman" w:eastAsia="Trebuchet MS" w:hAnsi="Times New Roman" w:cs="Times New Roman"/>
          <w:b/>
          <w:bCs/>
          <w:sz w:val="24"/>
          <w:szCs w:val="24"/>
          <w:lang w:val="it-IT"/>
        </w:rPr>
        <w:t>Leferman CE</w:t>
      </w:r>
      <w:r w:rsidRPr="00C073F9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</w:t>
      </w:r>
      <w:r w:rsidRPr="00C073F9">
        <w:rPr>
          <w:rFonts w:ascii="Times New Roman" w:eastAsia="Trebuchet MS" w:hAnsi="Times New Roman" w:cs="Times New Roman"/>
          <w:sz w:val="24"/>
          <w:szCs w:val="24"/>
        </w:rPr>
        <w:t xml:space="preserve">A peculiar case of cutaneous eyelid melanoma: Clinicopathological questions and therapeutic challenges. Acta Medica Transilvanica. 2020 Jun 1;25(2):15–7. </w:t>
      </w:r>
    </w:p>
    <w:bookmarkStart w:id="15" w:name="_Hlk219390587"/>
    <w:p w:rsidR="00C073F9" w:rsidRPr="00A367E2" w:rsidRDefault="00203DF3" w:rsidP="00C073F9">
      <w:pPr>
        <w:spacing w:line="360" w:lineRule="auto"/>
        <w:ind w:left="1068"/>
        <w:contextualSpacing/>
        <w:rPr>
          <w:rFonts w:ascii="Times New Roman" w:eastAsia="Trebuchet MS" w:hAnsi="Times New Roman" w:cs="Times New Roman"/>
          <w:color w:val="0070C0"/>
          <w:sz w:val="24"/>
          <w:szCs w:val="24"/>
          <w:lang w:bidi="en-GB"/>
        </w:rPr>
      </w:pPr>
      <w:r>
        <w:fldChar w:fldCharType="begin"/>
      </w:r>
      <w:r>
        <w:instrText xml:space="preserve"> HYPERLINK "http://www.amtsibiu.ro/Arhiva/2020/Nr2-en/Ciubotaru.pdf" \t "_blank" </w:instrText>
      </w:r>
      <w:r>
        <w:fldChar w:fldCharType="separate"/>
      </w:r>
      <w:r w:rsidR="00C073F9" w:rsidRPr="00A367E2">
        <w:rPr>
          <w:rStyle w:val="Hyperlink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http://www.amtsibiu.ro/Arhiva/2020/Nr2-en/Ciubotaru.pdf</w:t>
      </w:r>
      <w:r>
        <w:rPr>
          <w:rStyle w:val="Hyperlink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fldChar w:fldCharType="end"/>
      </w:r>
      <w:r w:rsidR="00C073F9" w:rsidRPr="00A367E2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  </w:t>
      </w:r>
    </w:p>
    <w:bookmarkEnd w:id="15"/>
    <w:bookmarkEnd w:id="14"/>
    <w:p w:rsidR="00C073F9" w:rsidRPr="00C073F9" w:rsidRDefault="00C073F9" w:rsidP="00C073F9">
      <w:pPr>
        <w:pStyle w:val="ListParagraph"/>
        <w:spacing w:line="360" w:lineRule="auto"/>
        <w:ind w:left="1416"/>
        <w:rPr>
          <w:lang w:val="en-US"/>
        </w:rPr>
      </w:pPr>
    </w:p>
    <w:p w:rsidR="00C073F9" w:rsidRPr="00C073F9" w:rsidRDefault="00C073F9" w:rsidP="0038354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22" w:lineRule="exact"/>
        <w:ind w:right="-20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C073F9">
        <w:rPr>
          <w:rFonts w:ascii="Times New Roman" w:hAnsi="Times New Roman" w:cs="Times New Roman"/>
          <w:spacing w:val="-2"/>
          <w:sz w:val="24"/>
          <w:szCs w:val="24"/>
        </w:rPr>
        <w:t>Articole</w:t>
      </w:r>
      <w:r w:rsidRPr="00C073F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20"/>
          <w:sz w:val="24"/>
          <w:szCs w:val="24"/>
        </w:rPr>
        <w:t>pub</w:t>
      </w:r>
      <w:r w:rsidRPr="00C073F9">
        <w:rPr>
          <w:rFonts w:ascii="Times New Roman" w:hAnsi="Times New Roman" w:cs="Times New Roman"/>
          <w:sz w:val="24"/>
          <w:szCs w:val="24"/>
        </w:rPr>
        <w:t>licate</w:t>
      </w:r>
      <w:r w:rsidRPr="00C073F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C073F9">
        <w:rPr>
          <w:rFonts w:ascii="Times New Roman" w:hAnsi="Times New Roman" w:cs="Times New Roman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x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073F9">
        <w:rPr>
          <w:rFonts w:ascii="Times New Roman" w:hAnsi="Times New Roman" w:cs="Times New Roman"/>
          <w:sz w:val="24"/>
          <w:szCs w:val="24"/>
        </w:rPr>
        <w:t>o</w:t>
      </w:r>
      <w:r w:rsidRPr="00C073F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 xml:space="preserve">în </w:t>
      </w:r>
      <w:r w:rsidRPr="00C073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073F9">
        <w:rPr>
          <w:rFonts w:ascii="Times New Roman" w:hAnsi="Times New Roman" w:cs="Times New Roman"/>
          <w:sz w:val="24"/>
          <w:szCs w:val="24"/>
        </w:rPr>
        <w:t>v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73F9">
        <w:rPr>
          <w:rFonts w:ascii="Times New Roman" w:hAnsi="Times New Roman" w:cs="Times New Roman"/>
          <w:sz w:val="24"/>
          <w:szCs w:val="24"/>
        </w:rPr>
        <w:t>u</w:t>
      </w:r>
      <w:r w:rsidRPr="00C073F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v</w:t>
      </w:r>
      <w:r w:rsidRPr="00C073F9">
        <w:rPr>
          <w:rFonts w:ascii="Times New Roman" w:hAnsi="Times New Roman" w:cs="Times New Roman"/>
          <w:spacing w:val="8"/>
          <w:sz w:val="24"/>
          <w:szCs w:val="24"/>
        </w:rPr>
        <w:t>o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l</w:t>
      </w:r>
      <w:r w:rsidRPr="00C073F9">
        <w:rPr>
          <w:rFonts w:ascii="Times New Roman" w:hAnsi="Times New Roman" w:cs="Times New Roman"/>
          <w:spacing w:val="8"/>
          <w:sz w:val="24"/>
          <w:szCs w:val="24"/>
        </w:rPr>
        <w:t>u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m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C073F9">
        <w:rPr>
          <w:rFonts w:ascii="Times New Roman" w:hAnsi="Times New Roman" w:cs="Times New Roman"/>
          <w:sz w:val="24"/>
          <w:szCs w:val="24"/>
        </w:rPr>
        <w:t>e u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073F9">
        <w:rPr>
          <w:rFonts w:ascii="Times New Roman" w:hAnsi="Times New Roman" w:cs="Times New Roman"/>
          <w:sz w:val="24"/>
          <w:szCs w:val="24"/>
        </w:rPr>
        <w:t xml:space="preserve">r </w:t>
      </w:r>
      <w:r w:rsidRPr="00C073F9">
        <w:rPr>
          <w:rFonts w:ascii="Times New Roman" w:hAnsi="Times New Roman" w:cs="Times New Roman"/>
          <w:spacing w:val="-5"/>
          <w:sz w:val="24"/>
          <w:szCs w:val="24"/>
        </w:rPr>
        <w:t>c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073F9">
        <w:rPr>
          <w:rFonts w:ascii="Times New Roman" w:hAnsi="Times New Roman" w:cs="Times New Roman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-7"/>
          <w:sz w:val="24"/>
          <w:szCs w:val="24"/>
        </w:rPr>
        <w:t>f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ț</w:t>
      </w:r>
      <w:r w:rsidRPr="00C073F9">
        <w:rPr>
          <w:rFonts w:ascii="Times New Roman" w:hAnsi="Times New Roman" w:cs="Times New Roman"/>
          <w:sz w:val="24"/>
          <w:szCs w:val="24"/>
        </w:rPr>
        <w:t xml:space="preserve">e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73F9">
        <w:rPr>
          <w:rFonts w:ascii="Times New Roman" w:hAnsi="Times New Roman" w:cs="Times New Roman"/>
          <w:spacing w:val="8"/>
          <w:sz w:val="24"/>
          <w:szCs w:val="24"/>
        </w:rPr>
        <w:t>ț</w:t>
      </w:r>
      <w:r w:rsidRPr="00C073F9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a</w:t>
      </w:r>
      <w:r w:rsidRPr="00C073F9">
        <w:rPr>
          <w:rFonts w:ascii="Times New Roman" w:hAnsi="Times New Roman" w:cs="Times New Roman"/>
          <w:sz w:val="24"/>
          <w:szCs w:val="24"/>
        </w:rPr>
        <w:t>le,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C073F9">
        <w:rPr>
          <w:rFonts w:ascii="Times New Roman" w:hAnsi="Times New Roman" w:cs="Times New Roman"/>
          <w:sz w:val="24"/>
          <w:szCs w:val="24"/>
        </w:rPr>
        <w:t>n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d</w:t>
      </w:r>
      <w:r w:rsidRPr="00C073F9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-4"/>
          <w:sz w:val="24"/>
          <w:szCs w:val="24"/>
        </w:rPr>
        <w:t>x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73F9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C073F9">
        <w:rPr>
          <w:rFonts w:ascii="Times New Roman" w:hAnsi="Times New Roman" w:cs="Times New Roman"/>
          <w:sz w:val="24"/>
          <w:szCs w:val="24"/>
        </w:rPr>
        <w:t>e</w:t>
      </w:r>
      <w:r w:rsidRPr="00C073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C073F9">
        <w:rPr>
          <w:rFonts w:ascii="Times New Roman" w:hAnsi="Times New Roman" w:cs="Times New Roman"/>
          <w:sz w:val="24"/>
          <w:szCs w:val="24"/>
        </w:rPr>
        <w:t>DI</w:t>
      </w:r>
      <w:r w:rsidRPr="00C073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73F9">
        <w:rPr>
          <w:rFonts w:ascii="Times New Roman" w:hAnsi="Times New Roman" w:cs="Times New Roman"/>
          <w:spacing w:val="-2"/>
          <w:sz w:val="24"/>
          <w:szCs w:val="24"/>
        </w:rPr>
        <w:t xml:space="preserve">în calitate de </w:t>
      </w:r>
      <w:r w:rsidRPr="00C073F9">
        <w:rPr>
          <w:rFonts w:ascii="Times New Roman" w:hAnsi="Times New Roman" w:cs="Times New Roman"/>
          <w:sz w:val="24"/>
          <w:szCs w:val="24"/>
        </w:rPr>
        <w:t xml:space="preserve">coautor  </w:t>
      </w:r>
    </w:p>
    <w:p w:rsidR="00C073F9" w:rsidRPr="00C073F9" w:rsidRDefault="00C073F9" w:rsidP="00C073F9">
      <w:pPr>
        <w:pStyle w:val="ListParagraph"/>
        <w:spacing w:line="360" w:lineRule="auto"/>
        <w:ind w:left="0" w:firstLine="720"/>
        <w:contextualSpacing/>
      </w:pPr>
    </w:p>
    <w:p w:rsidR="00C073F9" w:rsidRPr="00C073F9" w:rsidRDefault="00C073F9" w:rsidP="00C073F9">
      <w:pPr>
        <w:pStyle w:val="ListParagraph"/>
        <w:numPr>
          <w:ilvl w:val="0"/>
          <w:numId w:val="4"/>
        </w:numPr>
        <w:spacing w:line="360" w:lineRule="auto"/>
        <w:contextualSpacing/>
        <w:rPr>
          <w:color w:val="000000" w:themeColor="text1"/>
          <w:lang w:val="en-US"/>
        </w:rPr>
      </w:pPr>
      <w:bookmarkStart w:id="16" w:name="_Hlk219443476"/>
      <w:r w:rsidRPr="00C073F9">
        <w:rPr>
          <w:color w:val="000000" w:themeColor="text1"/>
          <w:lang w:val="en-US"/>
        </w:rPr>
        <w:t xml:space="preserve">Luca C, Ciubotaru A, </w:t>
      </w:r>
      <w:r w:rsidRPr="00C073F9">
        <w:rPr>
          <w:b/>
          <w:bCs/>
          <w:color w:val="000000" w:themeColor="text1"/>
          <w:lang w:val="en-US"/>
        </w:rPr>
        <w:t>Leferman C</w:t>
      </w:r>
      <w:r w:rsidRPr="00C073F9">
        <w:rPr>
          <w:color w:val="000000" w:themeColor="text1"/>
          <w:lang w:val="en-US"/>
        </w:rPr>
        <w:t xml:space="preserve">, Anghel R, Deju E, Tinica G. Leriche syndrome in a post-CABG patient. Archive of Clinical Cases. 2015 Mar;02(01):12–7.  </w:t>
      </w:r>
    </w:p>
    <w:bookmarkStart w:id="17" w:name="_Hlk219390869"/>
    <w:p w:rsidR="00C073F9" w:rsidRDefault="00203DF3" w:rsidP="00C073F9">
      <w:pPr>
        <w:pStyle w:val="ListParagraph"/>
        <w:spacing w:line="360" w:lineRule="auto"/>
        <w:ind w:left="1080"/>
        <w:contextualSpacing/>
        <w:rPr>
          <w:color w:val="0070C0"/>
          <w:shd w:val="clear" w:color="auto" w:fill="FFFFFF"/>
        </w:rPr>
      </w:pPr>
      <w:r>
        <w:fldChar w:fldCharType="begin"/>
      </w:r>
      <w:r>
        <w:instrText xml:space="preserve"> HYPERLINK "http://www.clinicalcases.eu/index.php/acc/article/view/54/26" \t "_blank" </w:instrText>
      </w:r>
      <w:r>
        <w:fldChar w:fldCharType="separate"/>
      </w:r>
      <w:r w:rsidR="00C073F9" w:rsidRPr="00A367E2">
        <w:rPr>
          <w:rStyle w:val="Hyperlink"/>
          <w:color w:val="0070C0"/>
          <w:shd w:val="clear" w:color="auto" w:fill="FFFFFF"/>
        </w:rPr>
        <w:t>http://www.clinicalcases.eu/index.php/acc/article/view/54/26</w:t>
      </w:r>
      <w:r>
        <w:rPr>
          <w:rStyle w:val="Hyperlink"/>
          <w:color w:val="0070C0"/>
          <w:shd w:val="clear" w:color="auto" w:fill="FFFFFF"/>
        </w:rPr>
        <w:fldChar w:fldCharType="end"/>
      </w:r>
      <w:r w:rsidR="00C073F9" w:rsidRPr="00A367E2">
        <w:rPr>
          <w:color w:val="0070C0"/>
          <w:shd w:val="clear" w:color="auto" w:fill="FFFFFF"/>
        </w:rPr>
        <w:t>  </w:t>
      </w:r>
    </w:p>
    <w:bookmarkEnd w:id="16"/>
    <w:p w:rsidR="000608E8" w:rsidRDefault="000608E8" w:rsidP="000608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8E8" w:rsidRPr="00BA06FA" w:rsidRDefault="000608E8" w:rsidP="003835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6FA">
        <w:rPr>
          <w:rFonts w:ascii="Times New Roman" w:hAnsi="Times New Roman" w:cs="Times New Roman"/>
          <w:sz w:val="24"/>
          <w:szCs w:val="24"/>
        </w:rPr>
        <w:t xml:space="preserve">Teza de doctorat cu titlul </w:t>
      </w:r>
      <w:r w:rsidR="000A06CF" w:rsidRPr="00BA06FA">
        <w:rPr>
          <w:rFonts w:ascii="Times New Roman" w:hAnsi="Times New Roman" w:cs="Times New Roman"/>
          <w:sz w:val="24"/>
          <w:szCs w:val="24"/>
        </w:rPr>
        <w:t>"</w:t>
      </w:r>
      <w:r w:rsidRPr="00BA06FA">
        <w:rPr>
          <w:rFonts w:ascii="Times New Roman" w:hAnsi="Times New Roman" w:cs="Times New Roman"/>
          <w:sz w:val="24"/>
          <w:szCs w:val="24"/>
        </w:rPr>
        <w:t>CERCETĂRI PRIVIND INFLUENȚAREA FARMACOLOGICĂ A BOLILOR OCULARE DE CAUZĂ INFECȚIOASĂ</w:t>
      </w:r>
      <w:r w:rsidR="000A06CF" w:rsidRPr="00BA06FA">
        <w:rPr>
          <w:rFonts w:ascii="Times New Roman" w:hAnsi="Times New Roman" w:cs="Times New Roman"/>
          <w:sz w:val="24"/>
          <w:szCs w:val="24"/>
        </w:rPr>
        <w:t>"</w:t>
      </w:r>
    </w:p>
    <w:p w:rsidR="0038354C" w:rsidRPr="00BA06FA" w:rsidRDefault="0038354C" w:rsidP="003835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354C" w:rsidRPr="00BA06FA" w:rsidRDefault="0038354C" w:rsidP="003835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6FA">
        <w:rPr>
          <w:rFonts w:ascii="Times New Roman" w:hAnsi="Times New Roman" w:cs="Times New Roman"/>
          <w:sz w:val="24"/>
          <w:szCs w:val="24"/>
        </w:rPr>
        <w:t xml:space="preserve">Capitole cărți </w:t>
      </w:r>
    </w:p>
    <w:p w:rsidR="0038354C" w:rsidRPr="0038354C" w:rsidRDefault="0038354C" w:rsidP="0038354C">
      <w:pPr>
        <w:pStyle w:val="ListParagraph"/>
        <w:tabs>
          <w:tab w:val="left" w:pos="171"/>
          <w:tab w:val="left" w:pos="480"/>
        </w:tabs>
        <w:spacing w:line="360" w:lineRule="auto"/>
        <w:ind w:left="1080" w:right="-20"/>
        <w:jc w:val="both"/>
      </w:pPr>
      <w:bookmarkStart w:id="18" w:name="_Hlk219446010"/>
      <w:r w:rsidRPr="0038354C">
        <w:rPr>
          <w:lang w:val="en-US"/>
        </w:rPr>
        <w:t>Leferman Carmen</w:t>
      </w:r>
      <w:r w:rsidRPr="00BA06FA">
        <w:rPr>
          <w:color w:val="4472C4" w:themeColor="accent1"/>
          <w:lang w:val="en-US"/>
        </w:rPr>
        <w:t xml:space="preserve">. </w:t>
      </w:r>
      <w:hyperlink r:id="rId12" w:history="1">
        <w:r w:rsidRPr="00BA06FA">
          <w:rPr>
            <w:rStyle w:val="Hyperlink"/>
            <w:color w:val="4472C4" w:themeColor="accent1"/>
            <w:lang w:val="en-US"/>
          </w:rPr>
          <w:t>Retinopatia d</w:t>
        </w:r>
        <w:r w:rsidRPr="00BA06FA">
          <w:rPr>
            <w:rStyle w:val="Hyperlink"/>
            <w:color w:val="4472C4" w:themeColor="accent1"/>
          </w:rPr>
          <w:t xml:space="preserve">iabetică. În: </w:t>
        </w:r>
        <w:r w:rsidRPr="00BA06FA">
          <w:rPr>
            <w:rStyle w:val="Hyperlink"/>
            <w:i/>
            <w:color w:val="4472C4" w:themeColor="accent1"/>
          </w:rPr>
          <w:t>Ghidul educațional al pacienților cu obezitate, diabet și boli metabolice</w:t>
        </w:r>
      </w:hyperlink>
      <w:r w:rsidRPr="0038354C">
        <w:t>, vol. 2,  coordonat de Magdalena Cuciureanu și Laura Mihaela Trandafir, 183-188. Ed. “Gr. T. Popa” UMF Iași, 2023.</w:t>
      </w:r>
      <w:bookmarkStart w:id="19" w:name="_GoBack"/>
      <w:bookmarkEnd w:id="19"/>
    </w:p>
    <w:bookmarkEnd w:id="18"/>
    <w:p w:rsidR="0038354C" w:rsidRPr="00087A85" w:rsidRDefault="0038354C" w:rsidP="0038354C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Arial" w:hAnsi="Arial" w:cs="Arial"/>
          <w:sz w:val="22"/>
          <w:szCs w:val="22"/>
        </w:rPr>
      </w:pPr>
    </w:p>
    <w:p w:rsidR="0038354C" w:rsidRPr="0038354C" w:rsidRDefault="0038354C" w:rsidP="000608E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608E8" w:rsidRPr="0038354C" w:rsidRDefault="000608E8" w:rsidP="000608E8">
      <w:pPr>
        <w:rPr>
          <w:rFonts w:ascii="Times New Roman" w:hAnsi="Times New Roman" w:cs="Times New Roman"/>
          <w:sz w:val="24"/>
          <w:szCs w:val="24"/>
        </w:rPr>
      </w:pPr>
      <w:r w:rsidRPr="0038354C">
        <w:rPr>
          <w:rFonts w:ascii="Times New Roman" w:hAnsi="Times New Roman" w:cs="Times New Roman"/>
          <w:sz w:val="24"/>
          <w:szCs w:val="24"/>
        </w:rPr>
        <w:t>  </w:t>
      </w:r>
    </w:p>
    <w:p w:rsidR="00103213" w:rsidRPr="0038354C" w:rsidRDefault="00103213" w:rsidP="00103213">
      <w:pPr>
        <w:spacing w:line="360" w:lineRule="auto"/>
        <w:contextualSpacing/>
        <w:rPr>
          <w:color w:val="0070C0"/>
        </w:rPr>
      </w:pPr>
    </w:p>
    <w:bookmarkEnd w:id="17"/>
    <w:p w:rsidR="00C073F9" w:rsidRPr="00C073F9" w:rsidRDefault="00C073F9" w:rsidP="00C073F9">
      <w:pPr>
        <w:spacing w:after="0" w:line="360" w:lineRule="auto"/>
        <w:contextualSpacing/>
        <w:rPr>
          <w:rFonts w:eastAsia="Trebuchet MS"/>
          <w:lang w:val="ro-RO" w:bidi="en-GB"/>
        </w:rPr>
      </w:pPr>
    </w:p>
    <w:p w:rsidR="00C073F9" w:rsidRPr="0038354C" w:rsidRDefault="00C073F9" w:rsidP="00C073F9">
      <w:pPr>
        <w:pStyle w:val="ListParagraph"/>
        <w:spacing w:line="360" w:lineRule="auto"/>
        <w:ind w:left="1416"/>
        <w:rPr>
          <w:sz w:val="22"/>
          <w:lang w:val="en-US"/>
        </w:rPr>
      </w:pPr>
    </w:p>
    <w:p w:rsidR="00176234" w:rsidRPr="0038354C" w:rsidRDefault="001E72FE"/>
    <w:sectPr w:rsidR="00176234" w:rsidRPr="00383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B83"/>
    <w:multiLevelType w:val="hybridMultilevel"/>
    <w:tmpl w:val="F244A1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5F21"/>
    <w:multiLevelType w:val="hybridMultilevel"/>
    <w:tmpl w:val="D92AE2E6"/>
    <w:lvl w:ilvl="0" w:tplc="0434A9E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D23313"/>
    <w:multiLevelType w:val="hybridMultilevel"/>
    <w:tmpl w:val="F9DAAE20"/>
    <w:lvl w:ilvl="0" w:tplc="A82C31B4">
      <w:start w:val="1"/>
      <w:numFmt w:val="decimal"/>
      <w:lvlText w:val="%1."/>
      <w:lvlJc w:val="left"/>
      <w:pPr>
        <w:ind w:left="1416" w:hanging="696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8A40A1"/>
    <w:multiLevelType w:val="hybridMultilevel"/>
    <w:tmpl w:val="68B41D68"/>
    <w:lvl w:ilvl="0" w:tplc="9288F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5906F4"/>
    <w:multiLevelType w:val="hybridMultilevel"/>
    <w:tmpl w:val="EABA7366"/>
    <w:lvl w:ilvl="0" w:tplc="8968E280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844" w:hanging="360"/>
      </w:pPr>
    </w:lvl>
    <w:lvl w:ilvl="2" w:tplc="0409001B" w:tentative="1">
      <w:start w:val="1"/>
      <w:numFmt w:val="lowerRoman"/>
      <w:lvlText w:val="%3."/>
      <w:lvlJc w:val="right"/>
      <w:pPr>
        <w:ind w:left="4564" w:hanging="180"/>
      </w:pPr>
    </w:lvl>
    <w:lvl w:ilvl="3" w:tplc="0409000F" w:tentative="1">
      <w:start w:val="1"/>
      <w:numFmt w:val="decimal"/>
      <w:lvlText w:val="%4."/>
      <w:lvlJc w:val="left"/>
      <w:pPr>
        <w:ind w:left="5284" w:hanging="360"/>
      </w:pPr>
    </w:lvl>
    <w:lvl w:ilvl="4" w:tplc="04090019" w:tentative="1">
      <w:start w:val="1"/>
      <w:numFmt w:val="lowerLetter"/>
      <w:lvlText w:val="%5."/>
      <w:lvlJc w:val="left"/>
      <w:pPr>
        <w:ind w:left="6004" w:hanging="360"/>
      </w:pPr>
    </w:lvl>
    <w:lvl w:ilvl="5" w:tplc="0409001B" w:tentative="1">
      <w:start w:val="1"/>
      <w:numFmt w:val="lowerRoman"/>
      <w:lvlText w:val="%6."/>
      <w:lvlJc w:val="right"/>
      <w:pPr>
        <w:ind w:left="6724" w:hanging="180"/>
      </w:pPr>
    </w:lvl>
    <w:lvl w:ilvl="6" w:tplc="0409000F" w:tentative="1">
      <w:start w:val="1"/>
      <w:numFmt w:val="decimal"/>
      <w:lvlText w:val="%7."/>
      <w:lvlJc w:val="left"/>
      <w:pPr>
        <w:ind w:left="7444" w:hanging="360"/>
      </w:pPr>
    </w:lvl>
    <w:lvl w:ilvl="7" w:tplc="04090019" w:tentative="1">
      <w:start w:val="1"/>
      <w:numFmt w:val="lowerLetter"/>
      <w:lvlText w:val="%8."/>
      <w:lvlJc w:val="left"/>
      <w:pPr>
        <w:ind w:left="8164" w:hanging="360"/>
      </w:pPr>
    </w:lvl>
    <w:lvl w:ilvl="8" w:tplc="0409001B" w:tentative="1">
      <w:start w:val="1"/>
      <w:numFmt w:val="lowerRoman"/>
      <w:lvlText w:val="%9."/>
      <w:lvlJc w:val="right"/>
      <w:pPr>
        <w:ind w:left="888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F9"/>
    <w:rsid w:val="000608E8"/>
    <w:rsid w:val="000A06CF"/>
    <w:rsid w:val="00103213"/>
    <w:rsid w:val="00203DF3"/>
    <w:rsid w:val="00323975"/>
    <w:rsid w:val="0038354C"/>
    <w:rsid w:val="003F0C11"/>
    <w:rsid w:val="006259A5"/>
    <w:rsid w:val="00667CC9"/>
    <w:rsid w:val="00742077"/>
    <w:rsid w:val="007D09CB"/>
    <w:rsid w:val="008B5535"/>
    <w:rsid w:val="009B414D"/>
    <w:rsid w:val="00A367E2"/>
    <w:rsid w:val="00A402F4"/>
    <w:rsid w:val="00A44631"/>
    <w:rsid w:val="00AF42D9"/>
    <w:rsid w:val="00BA06FA"/>
    <w:rsid w:val="00C073F9"/>
    <w:rsid w:val="00C20479"/>
    <w:rsid w:val="00D00FC1"/>
    <w:rsid w:val="00E76827"/>
    <w:rsid w:val="00F91423"/>
    <w:rsid w:val="00FE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4F079-5936-4711-9C04-66087E2E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73F9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C073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367E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A367E2"/>
    <w:rPr>
      <w:rFonts w:ascii="Arial" w:eastAsia="Arial" w:hAnsi="Arial" w:cs="Arial"/>
      <w:sz w:val="18"/>
      <w:szCs w:val="18"/>
      <w:lang w:val="en-GB" w:eastAsia="en-GB" w:bidi="en-GB"/>
    </w:rPr>
  </w:style>
  <w:style w:type="character" w:styleId="Emphasis">
    <w:name w:val="Emphasis"/>
    <w:basedOn w:val="DefaultParagraphFont"/>
    <w:uiPriority w:val="20"/>
    <w:qFormat/>
    <w:rsid w:val="00A367E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367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h171216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ph18030382" TargetMode="External"/><Relationship Id="rId12" Type="http://schemas.openxmlformats.org/officeDocument/2006/relationships/hyperlink" Target="Ghid%20Diab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forsciint.2025.112611" TargetMode="External"/><Relationship Id="rId11" Type="http://schemas.openxmlformats.org/officeDocument/2006/relationships/hyperlink" Target="https://journals.sagepub.com/doi/10.1177/1120672120954042?url_ver=Z39.88-2003&amp;rfr_id=ori:rid:crossref.org&amp;rfr_dat=cr_pub%20%200pubmed" TargetMode="External"/><Relationship Id="rId5" Type="http://schemas.openxmlformats.org/officeDocument/2006/relationships/hyperlink" Target="https://doi.org/10.3390/germs16010001" TargetMode="External"/><Relationship Id="rId10" Type="http://schemas.openxmlformats.org/officeDocument/2006/relationships/hyperlink" Target="https://www.mdpi.com/2079-6382/12/2/4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079-6382/12/8/12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4</Pages>
  <Words>818</Words>
  <Characters>5706</Characters>
  <Application>Microsoft Office Word</Application>
  <DocSecurity>0</DocSecurity>
  <Lines>107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Carmen-Ecaterina LEFERMAN</dc:creator>
  <cp:keywords/>
  <dc:description/>
  <cp:lastModifiedBy>Carmen-Ecaterina LEFERMAN</cp:lastModifiedBy>
  <cp:revision>19</cp:revision>
  <dcterms:created xsi:type="dcterms:W3CDTF">2024-06-04T13:42:00Z</dcterms:created>
  <dcterms:modified xsi:type="dcterms:W3CDTF">2026-01-16T07:06:00Z</dcterms:modified>
</cp:coreProperties>
</file>