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5349B" w14:textId="416F9C8E" w:rsidR="00E33CB9" w:rsidRPr="00785A98" w:rsidRDefault="007C14C1" w:rsidP="00785A98">
      <w:pPr>
        <w:spacing w:after="0"/>
        <w:jc w:val="both"/>
        <w:rPr>
          <w:b/>
          <w:bCs/>
          <w:sz w:val="24"/>
          <w:szCs w:val="24"/>
        </w:rPr>
      </w:pPr>
      <w:r w:rsidRPr="00785A98">
        <w:rPr>
          <w:b/>
          <w:bCs/>
          <w:sz w:val="24"/>
          <w:szCs w:val="24"/>
        </w:rPr>
        <w:t xml:space="preserve">Lista de lucrări </w:t>
      </w:r>
    </w:p>
    <w:p w14:paraId="340E0B10" w14:textId="1294390A" w:rsidR="007C14C1" w:rsidRPr="00785A98" w:rsidRDefault="007C14C1" w:rsidP="00785A98">
      <w:pPr>
        <w:spacing w:after="0"/>
        <w:jc w:val="both"/>
        <w:rPr>
          <w:b/>
          <w:bCs/>
          <w:sz w:val="24"/>
          <w:szCs w:val="24"/>
        </w:rPr>
      </w:pPr>
      <w:r w:rsidRPr="00785A98">
        <w:rPr>
          <w:b/>
          <w:bCs/>
          <w:sz w:val="24"/>
          <w:szCs w:val="24"/>
        </w:rPr>
        <w:t>MIHALI CIPRIAN VALENTIN</w:t>
      </w:r>
    </w:p>
    <w:p w14:paraId="42C3F7CB" w14:textId="77777777" w:rsidR="007C14C1" w:rsidRPr="00785A98" w:rsidRDefault="007C14C1" w:rsidP="00785A98">
      <w:pPr>
        <w:spacing w:after="0"/>
        <w:jc w:val="both"/>
        <w:rPr>
          <w:b/>
          <w:bCs/>
          <w:sz w:val="24"/>
          <w:szCs w:val="24"/>
        </w:rPr>
      </w:pPr>
    </w:p>
    <w:p w14:paraId="49EC59AC" w14:textId="043521A6" w:rsidR="007C14C1" w:rsidRPr="00785A98" w:rsidRDefault="00785A98" w:rsidP="00785A98">
      <w:pPr>
        <w:spacing w:after="0"/>
        <w:jc w:val="both"/>
        <w:rPr>
          <w:b/>
          <w:bCs/>
          <w:sz w:val="24"/>
          <w:szCs w:val="24"/>
        </w:rPr>
      </w:pPr>
      <w:r w:rsidRPr="00785A98">
        <w:rPr>
          <w:b/>
          <w:bCs/>
          <w:sz w:val="24"/>
          <w:szCs w:val="24"/>
        </w:rPr>
        <w:t>Articole în reviste cotate ISI, ca autor principal</w:t>
      </w:r>
    </w:p>
    <w:p w14:paraId="2FA35241" w14:textId="77777777" w:rsidR="00785A98" w:rsidRPr="00785A98" w:rsidRDefault="00785A98" w:rsidP="00785A98">
      <w:pPr>
        <w:spacing w:after="0"/>
        <w:jc w:val="both"/>
        <w:rPr>
          <w:b/>
          <w:bCs/>
          <w:sz w:val="24"/>
          <w:szCs w:val="24"/>
        </w:rPr>
      </w:pPr>
    </w:p>
    <w:p w14:paraId="43EA8890" w14:textId="3E594CA0" w:rsidR="00785A98" w:rsidRPr="00785A98" w:rsidRDefault="00785A98" w:rsidP="00785A98">
      <w:pPr>
        <w:pStyle w:val="ListParagraph"/>
        <w:numPr>
          <w:ilvl w:val="0"/>
          <w:numId w:val="1"/>
        </w:numPr>
        <w:spacing w:after="0"/>
        <w:jc w:val="both"/>
        <w:rPr>
          <w:sz w:val="24"/>
          <w:szCs w:val="24"/>
        </w:rPr>
      </w:pPr>
      <w:r w:rsidRPr="00785A98">
        <w:rPr>
          <w:sz w:val="24"/>
          <w:szCs w:val="24"/>
        </w:rPr>
        <w:t>Mihali, Ciprian Valentin; Petrescu, Constantin Marian; Ciolacu-Ladasiu, Calin Flavius; Mathe, Endre; Popescu, Cristina; Bota, Viviane; Mizeranschi, Alexandru Eugeniu; Ilie, Daniela Elena; Neamț, Radu Ionel; Turcus, Violeta, Assessing Phenotypic Variability in Some Eastern European Insular Populations of the Climatic Relict Ilex aquifolium L.</w:t>
      </w:r>
      <w:r w:rsidRPr="00785A98">
        <w:rPr>
          <w:sz w:val="24"/>
          <w:szCs w:val="24"/>
        </w:rPr>
        <w:tab/>
        <w:t>,Plants (Basel), 2022 Aug 3, 11(15), p. ISSN: 2223-7747</w:t>
      </w:r>
      <w:r w:rsidRPr="00785A98">
        <w:rPr>
          <w:sz w:val="24"/>
          <w:szCs w:val="24"/>
        </w:rPr>
        <w:tab/>
      </w:r>
    </w:p>
    <w:p w14:paraId="0BBFDE45" w14:textId="77777777" w:rsidR="00785A98" w:rsidRPr="00785A98" w:rsidRDefault="00785A98" w:rsidP="00785A98">
      <w:pPr>
        <w:spacing w:after="0"/>
        <w:jc w:val="both"/>
        <w:rPr>
          <w:sz w:val="24"/>
          <w:szCs w:val="24"/>
        </w:rPr>
      </w:pPr>
    </w:p>
    <w:p w14:paraId="62FD19D8" w14:textId="576DEBE3" w:rsidR="00785A98" w:rsidRPr="00785A98" w:rsidRDefault="00785A98" w:rsidP="00785A98">
      <w:pPr>
        <w:pStyle w:val="ListParagraph"/>
        <w:numPr>
          <w:ilvl w:val="0"/>
          <w:numId w:val="1"/>
        </w:numPr>
        <w:spacing w:after="0"/>
        <w:jc w:val="both"/>
        <w:rPr>
          <w:sz w:val="24"/>
          <w:szCs w:val="24"/>
        </w:rPr>
      </w:pPr>
      <w:r w:rsidRPr="00785A98">
        <w:rPr>
          <w:sz w:val="24"/>
          <w:szCs w:val="24"/>
        </w:rPr>
        <w:t>Stoia, Marcela; Muntean, Eliza; Pacurariu, Cornelia; Mihali, Ciprian, Thermal behavior of MnFe2O4 and MnFe2O4C nanocomposite synthesized by a solvothermal method, THERMOCHIMICA ACTA, Vol. 652, 1-8, DOI 10.1016/j.tca.2017.03.009</w:t>
      </w:r>
    </w:p>
    <w:p w14:paraId="01BAE745" w14:textId="5ABEC0F3" w:rsidR="00785A98" w:rsidRPr="00785A98" w:rsidRDefault="00785A98" w:rsidP="00785A98">
      <w:pPr>
        <w:spacing w:after="0"/>
        <w:jc w:val="both"/>
        <w:rPr>
          <w:sz w:val="24"/>
          <w:szCs w:val="24"/>
        </w:rPr>
      </w:pPr>
      <w:r w:rsidRPr="00785A98">
        <w:rPr>
          <w:sz w:val="24"/>
          <w:szCs w:val="24"/>
        </w:rPr>
        <w:tab/>
      </w:r>
    </w:p>
    <w:p w14:paraId="7A46F90F" w14:textId="611EAEBB" w:rsidR="00785A98" w:rsidRPr="00785A98" w:rsidRDefault="00785A98" w:rsidP="00785A98">
      <w:pPr>
        <w:pStyle w:val="ListParagraph"/>
        <w:numPr>
          <w:ilvl w:val="0"/>
          <w:numId w:val="1"/>
        </w:numPr>
        <w:spacing w:after="0"/>
        <w:jc w:val="both"/>
        <w:rPr>
          <w:sz w:val="24"/>
          <w:szCs w:val="24"/>
        </w:rPr>
      </w:pPr>
      <w:r w:rsidRPr="00785A98">
        <w:rPr>
          <w:sz w:val="24"/>
          <w:szCs w:val="24"/>
        </w:rPr>
        <w:t>Mihali, Ciprian-Valentin; Ciolacu, Calin Flaviu Ladasiu; Frentescu, Lucian; Petrescu, Constantin-Marian; Mandrutiu, Iulia; Bechet, Dorin; Nistor, Tiberiu; Ardelean, Aurel; Benga, Gheorghe, Determination Of Plasma Phenylalanine Concentration By Two Dimensional Thin Layer Chromatography And High Performance Liquid Chromatography In Relation With Diagnosis Of Phenylketonuria, STUDIA UNIVERSITATIS BABES-BOLYAI CHEMIA, Vol.63, Issue 4, 79-94, DOI 10.24193/subbchem.2018.4.06</w:t>
      </w:r>
    </w:p>
    <w:p w14:paraId="6EACE2B8" w14:textId="77777777" w:rsidR="00785A98" w:rsidRPr="00785A98" w:rsidRDefault="00785A98" w:rsidP="00785A98">
      <w:pPr>
        <w:spacing w:after="0"/>
        <w:jc w:val="both"/>
        <w:rPr>
          <w:sz w:val="24"/>
          <w:szCs w:val="24"/>
        </w:rPr>
      </w:pPr>
    </w:p>
    <w:p w14:paraId="74B659FE" w14:textId="6D8B6450" w:rsidR="00785A98" w:rsidRPr="00785A98" w:rsidRDefault="00785A98" w:rsidP="00785A98">
      <w:pPr>
        <w:pStyle w:val="ListParagraph"/>
        <w:numPr>
          <w:ilvl w:val="0"/>
          <w:numId w:val="1"/>
        </w:numPr>
        <w:spacing w:after="0"/>
        <w:jc w:val="both"/>
        <w:rPr>
          <w:sz w:val="24"/>
          <w:szCs w:val="24"/>
        </w:rPr>
      </w:pPr>
      <w:r w:rsidRPr="00785A98">
        <w:rPr>
          <w:sz w:val="24"/>
          <w:szCs w:val="24"/>
        </w:rPr>
        <w:t>Mihali, Ciprian Valentin; Mizeranschi, Alexandru Eugeniu; Ilie, Daniela Elena; Cziszter, Ludovic-Toma; Neamt, Radu Ionel; Anton, Andreea Stefania; Mathe, Endre; Pecsenye, Bence; Bota, Viviane Beatrice; Turcus, Violeta, Genomic Variability Survey in Ilex aquifolium L., with Reference to Four Insular Populations from Eastern Europe, INTERNATIONAL JOURNAL OF MOLECULAR SCIENCES, Vol. 25, Issue 24, 2024, DOI 13593</w:t>
      </w:r>
    </w:p>
    <w:p w14:paraId="7D50E7C5" w14:textId="77777777" w:rsidR="007C14C1" w:rsidRPr="00785A98" w:rsidRDefault="007C14C1" w:rsidP="00785A98">
      <w:pPr>
        <w:spacing w:after="0"/>
        <w:jc w:val="both"/>
        <w:rPr>
          <w:b/>
          <w:bCs/>
          <w:sz w:val="24"/>
          <w:szCs w:val="24"/>
        </w:rPr>
      </w:pPr>
    </w:p>
    <w:p w14:paraId="3EE05776" w14:textId="2BDD0C24" w:rsidR="00785A98" w:rsidRPr="00785A98" w:rsidRDefault="00785A98" w:rsidP="00785A98">
      <w:pPr>
        <w:spacing w:after="0"/>
        <w:jc w:val="both"/>
        <w:rPr>
          <w:b/>
          <w:sz w:val="24"/>
          <w:szCs w:val="24"/>
        </w:rPr>
      </w:pPr>
      <w:r w:rsidRPr="00785A98">
        <w:rPr>
          <w:b/>
          <w:sz w:val="24"/>
          <w:szCs w:val="24"/>
        </w:rPr>
        <w:t>Articole în reviste cotate ISI, ca și contributor</w:t>
      </w:r>
    </w:p>
    <w:p w14:paraId="5DDF9694" w14:textId="77777777" w:rsidR="00785A98" w:rsidRPr="00785A98" w:rsidRDefault="00785A98" w:rsidP="00785A98">
      <w:pPr>
        <w:spacing w:after="0"/>
        <w:jc w:val="both"/>
        <w:rPr>
          <w:b/>
          <w:sz w:val="24"/>
          <w:szCs w:val="24"/>
        </w:rPr>
      </w:pPr>
    </w:p>
    <w:p w14:paraId="221A7F54" w14:textId="7E198F9B" w:rsidR="00785A98" w:rsidRDefault="00785A98" w:rsidP="00785A98">
      <w:pPr>
        <w:pStyle w:val="ListParagraph"/>
        <w:numPr>
          <w:ilvl w:val="0"/>
          <w:numId w:val="1"/>
        </w:numPr>
        <w:spacing w:after="0"/>
        <w:jc w:val="both"/>
        <w:rPr>
          <w:sz w:val="24"/>
          <w:szCs w:val="24"/>
        </w:rPr>
      </w:pPr>
      <w:r w:rsidRPr="00785A98">
        <w:rPr>
          <w:sz w:val="24"/>
          <w:szCs w:val="24"/>
        </w:rPr>
        <w:t xml:space="preserve">Hermenean A, Codreanu A, Herman H, Balta C, Rosu M, Mihali CV, Ivan A, Dinescu S, Ionita M, Costache M. </w:t>
      </w:r>
      <w:r w:rsidRPr="00785A98">
        <w:rPr>
          <w:sz w:val="24"/>
          <w:szCs w:val="24"/>
        </w:rPr>
        <w:tab/>
        <w:t xml:space="preserve">Chitosan-Graphene Oxide 3D scaffolds as Promising Tools for Bone Regeneration in Critical-Size Mouse Calvarial Defects </w:t>
      </w:r>
      <w:r w:rsidRPr="00785A98">
        <w:rPr>
          <w:sz w:val="24"/>
          <w:szCs w:val="24"/>
        </w:rPr>
        <w:tab/>
        <w:t>Sci Rep., 2017 Nov 30, 7(1), p.16641,  ISSN 2045-2322</w:t>
      </w:r>
      <w:r w:rsidRPr="00785A98">
        <w:rPr>
          <w:sz w:val="24"/>
          <w:szCs w:val="24"/>
        </w:rPr>
        <w:tab/>
      </w:r>
    </w:p>
    <w:p w14:paraId="6653B152" w14:textId="77777777" w:rsidR="00F95F96" w:rsidRPr="00F95F96" w:rsidRDefault="00F95F96" w:rsidP="00F95F96">
      <w:pPr>
        <w:spacing w:after="0"/>
        <w:ind w:left="710"/>
        <w:jc w:val="both"/>
        <w:rPr>
          <w:sz w:val="24"/>
          <w:szCs w:val="24"/>
        </w:rPr>
      </w:pPr>
    </w:p>
    <w:p w14:paraId="6D938CE9" w14:textId="520BE854" w:rsidR="00785A98" w:rsidRDefault="00785A98" w:rsidP="00F95F96">
      <w:pPr>
        <w:pStyle w:val="ListParagraph"/>
        <w:numPr>
          <w:ilvl w:val="0"/>
          <w:numId w:val="1"/>
        </w:numPr>
        <w:spacing w:after="0"/>
        <w:jc w:val="both"/>
        <w:rPr>
          <w:sz w:val="24"/>
          <w:szCs w:val="24"/>
        </w:rPr>
      </w:pPr>
      <w:r w:rsidRPr="00F95F96">
        <w:rPr>
          <w:sz w:val="24"/>
          <w:szCs w:val="24"/>
        </w:rPr>
        <w:t xml:space="preserve">Coricovac, Dorina-Elena; Moaca, Elena-Alina; Pinzaru, Iulia; Citu, Cosmin; Soica, Codruta; Mihali, Ciprian-Valentin; Pacurariu, Cornelia; Tutelyan, Victor A.; Tsatsakis, Aristidis; Dehelean, Cristina-Adriana, Biocompatible Colloidal Suspensions Based on Magnetic Iron Oxide Nanoparticles: Synthesis, </w:t>
      </w:r>
      <w:r w:rsidRPr="00F95F96">
        <w:rPr>
          <w:sz w:val="24"/>
          <w:szCs w:val="24"/>
        </w:rPr>
        <w:lastRenderedPageBreak/>
        <w:t>Characterization and Toxicological Profile,Front Pharmacol., 2017, Mar 28, 8, p.154,  ISSN 1663-9812</w:t>
      </w:r>
    </w:p>
    <w:p w14:paraId="07DB69C2" w14:textId="77777777" w:rsidR="00F95F96" w:rsidRPr="00F95F96" w:rsidRDefault="00F95F96" w:rsidP="00F95F96">
      <w:pPr>
        <w:spacing w:after="0"/>
        <w:ind w:left="710"/>
        <w:jc w:val="both"/>
        <w:rPr>
          <w:sz w:val="24"/>
          <w:szCs w:val="24"/>
        </w:rPr>
      </w:pPr>
    </w:p>
    <w:p w14:paraId="5091A6DA" w14:textId="2D448EE5" w:rsidR="00785A98" w:rsidRPr="00F95F96" w:rsidRDefault="00785A98" w:rsidP="00F95F96">
      <w:pPr>
        <w:pStyle w:val="ListParagraph"/>
        <w:numPr>
          <w:ilvl w:val="0"/>
          <w:numId w:val="1"/>
        </w:numPr>
        <w:spacing w:after="0"/>
        <w:jc w:val="both"/>
        <w:rPr>
          <w:sz w:val="24"/>
          <w:szCs w:val="24"/>
        </w:rPr>
      </w:pPr>
      <w:r w:rsidRPr="00F95F96">
        <w:rPr>
          <w:sz w:val="24"/>
          <w:szCs w:val="24"/>
        </w:rPr>
        <w:t xml:space="preserve">Hermenean A, Ardelean A, Stan M, Herman H, Mihali CV, Costache M, Dinischiotu A. </w:t>
      </w:r>
      <w:r w:rsidRPr="00F95F96">
        <w:rPr>
          <w:sz w:val="24"/>
          <w:szCs w:val="24"/>
        </w:rPr>
        <w:tab/>
        <w:t xml:space="preserve">Protective effects of naringenin on carbon tetrachloride-induced acute nephrotoxicity in mouse kidney </w:t>
      </w:r>
      <w:r w:rsidRPr="00F95F96">
        <w:rPr>
          <w:sz w:val="24"/>
          <w:szCs w:val="24"/>
        </w:rPr>
        <w:tab/>
        <w:t>Chem Biol Interact., 2013 Sep 25, 205(2), p.138-47, ISSN 1872-7786</w:t>
      </w:r>
      <w:r w:rsidRPr="00F95F96">
        <w:rPr>
          <w:sz w:val="24"/>
          <w:szCs w:val="24"/>
        </w:rPr>
        <w:tab/>
      </w:r>
    </w:p>
    <w:p w14:paraId="7EBADBB9" w14:textId="77777777" w:rsidR="00785A98" w:rsidRPr="00785A98" w:rsidRDefault="00785A98" w:rsidP="00785A98">
      <w:pPr>
        <w:spacing w:after="0"/>
        <w:jc w:val="both"/>
        <w:rPr>
          <w:sz w:val="24"/>
          <w:szCs w:val="24"/>
        </w:rPr>
      </w:pPr>
    </w:p>
    <w:p w14:paraId="618C42F0" w14:textId="6B7AA7F6" w:rsidR="00785A98" w:rsidRDefault="00785A98" w:rsidP="00F95F96">
      <w:pPr>
        <w:pStyle w:val="ListParagraph"/>
        <w:numPr>
          <w:ilvl w:val="0"/>
          <w:numId w:val="1"/>
        </w:numPr>
        <w:spacing w:after="0"/>
        <w:jc w:val="both"/>
        <w:rPr>
          <w:sz w:val="24"/>
          <w:szCs w:val="24"/>
        </w:rPr>
      </w:pPr>
      <w:r w:rsidRPr="00F95F96">
        <w:rPr>
          <w:sz w:val="24"/>
          <w:szCs w:val="24"/>
        </w:rPr>
        <w:t>Mioc, Marius; Pavel, Ioana Zinuca; Ghiulai, Roxana; Coricovac, Dorina E.; Farcas, Claudia; Mihali, Ciprian-Valentin; Oprean, Camelia; Serafim, Vlad; Popovici, Ramona A.; Dehelean, Cristina A.; Shtilman, Michael I.; Tsatsakis, Aristidis M.; Soica, Codruta</w:t>
      </w:r>
      <w:r w:rsidR="003511F2">
        <w:rPr>
          <w:sz w:val="24"/>
          <w:szCs w:val="24"/>
        </w:rPr>
        <w:t xml:space="preserve">, </w:t>
      </w:r>
      <w:r w:rsidRPr="00F95F96">
        <w:rPr>
          <w:sz w:val="24"/>
          <w:szCs w:val="24"/>
        </w:rPr>
        <w:t>The Cytotoxic Effects of Betulin-Conjugated Gold Nanoparticles as Stable Formulations in Normal and Melanoma Cells, Front Pharmacol., 2018, May, 3;9, p.429, ISSN 1663-9812</w:t>
      </w:r>
      <w:r w:rsidRPr="00F95F96">
        <w:rPr>
          <w:sz w:val="24"/>
          <w:szCs w:val="24"/>
        </w:rPr>
        <w:tab/>
      </w:r>
    </w:p>
    <w:p w14:paraId="70579E22" w14:textId="77777777" w:rsidR="00F95F96" w:rsidRPr="00F95F96" w:rsidRDefault="00F95F96" w:rsidP="00F95F96">
      <w:pPr>
        <w:pStyle w:val="ListParagraph"/>
        <w:rPr>
          <w:sz w:val="24"/>
          <w:szCs w:val="24"/>
        </w:rPr>
      </w:pPr>
    </w:p>
    <w:p w14:paraId="5CF0DF68" w14:textId="786CB791" w:rsidR="00785A98" w:rsidRPr="00F95F96" w:rsidRDefault="00785A98" w:rsidP="00F95F96">
      <w:pPr>
        <w:pStyle w:val="ListParagraph"/>
        <w:numPr>
          <w:ilvl w:val="0"/>
          <w:numId w:val="1"/>
        </w:numPr>
        <w:spacing w:after="0"/>
        <w:jc w:val="both"/>
        <w:rPr>
          <w:sz w:val="24"/>
          <w:szCs w:val="24"/>
        </w:rPr>
      </w:pPr>
      <w:r w:rsidRPr="00F95F96">
        <w:rPr>
          <w:sz w:val="24"/>
          <w:szCs w:val="24"/>
        </w:rPr>
        <w:t>Hermenean, Anca; Ardelean, Aurel; Stan, Miruna; Hadaruga, Nicoleta; Mihali, Ciprian-Valentin; Costache, Marieta; Dinischiotu, Anca</w:t>
      </w:r>
      <w:r w:rsidRPr="00F95F96">
        <w:rPr>
          <w:sz w:val="24"/>
          <w:szCs w:val="24"/>
        </w:rPr>
        <w:tab/>
        <w:t>Antioxidant and Hepatoprotective Effects of Naringenin and Its beta-Cyclodextrin Formulation in Mice Intoxicated with Carbon Tetrachloride: A Comparative Study, J. Med Food., 2014 Jun, 17(6), p.670-7, ISSN 1096-620X</w:t>
      </w:r>
      <w:r w:rsidRPr="00F95F96">
        <w:rPr>
          <w:sz w:val="24"/>
          <w:szCs w:val="24"/>
        </w:rPr>
        <w:tab/>
      </w:r>
    </w:p>
    <w:p w14:paraId="5CD1A2A1" w14:textId="77777777" w:rsidR="00785A98" w:rsidRPr="00785A98" w:rsidRDefault="00785A98" w:rsidP="00785A98">
      <w:pPr>
        <w:spacing w:after="0"/>
        <w:jc w:val="both"/>
        <w:rPr>
          <w:sz w:val="24"/>
          <w:szCs w:val="24"/>
        </w:rPr>
      </w:pPr>
    </w:p>
    <w:p w14:paraId="527F1AF3" w14:textId="2628263A" w:rsidR="00F95F96" w:rsidRPr="00F95F96" w:rsidRDefault="00785A98" w:rsidP="00F95F96">
      <w:pPr>
        <w:pStyle w:val="ListParagraph"/>
        <w:numPr>
          <w:ilvl w:val="0"/>
          <w:numId w:val="1"/>
        </w:numPr>
        <w:spacing w:after="0"/>
        <w:jc w:val="both"/>
        <w:rPr>
          <w:sz w:val="24"/>
          <w:szCs w:val="24"/>
        </w:rPr>
      </w:pPr>
      <w:r w:rsidRPr="00F95F96">
        <w:rPr>
          <w:sz w:val="24"/>
          <w:szCs w:val="24"/>
        </w:rPr>
        <w:t>Codreanu, Ada; Balta, Cornel; Herman, Hildegard; Cotoraci, Coralia; Mihali, Ciprian Valentin; Zurbau, Nicoleta; Zaharia, Catalin; Rapa, Maria; Stanescu, Paul; Radu, Ionut-Cristian; Vasile, Eugeniu; Lupu, George; Galateanu, Bianca; Hermenean, Anca</w:t>
      </w:r>
      <w:r w:rsidRPr="00F95F96">
        <w:rPr>
          <w:sz w:val="24"/>
          <w:szCs w:val="24"/>
        </w:rPr>
        <w:tab/>
        <w:t>Bacterial Cellulose-Modified Polyhydroxyalkanoates Scaffolds Promotes Bone Formation in Critical Size Calvarial Defects in Mice, Materials (Basel), 2020 Mar 21, 13(6), p.1433, ISSN 1996-1944</w:t>
      </w:r>
      <w:r w:rsidRPr="00F95F96">
        <w:rPr>
          <w:sz w:val="24"/>
          <w:szCs w:val="24"/>
        </w:rPr>
        <w:tab/>
      </w:r>
    </w:p>
    <w:p w14:paraId="78BF0065" w14:textId="77777777" w:rsidR="00F95F96" w:rsidRPr="00F95F96" w:rsidRDefault="00F95F96" w:rsidP="00F95F96">
      <w:pPr>
        <w:spacing w:after="0"/>
        <w:ind w:left="710"/>
        <w:jc w:val="both"/>
        <w:rPr>
          <w:sz w:val="24"/>
          <w:szCs w:val="24"/>
        </w:rPr>
      </w:pPr>
    </w:p>
    <w:p w14:paraId="79DEB4C7" w14:textId="75D4EA9E" w:rsidR="00785A98" w:rsidRDefault="00785A98" w:rsidP="00F95F96">
      <w:pPr>
        <w:pStyle w:val="ListParagraph"/>
        <w:numPr>
          <w:ilvl w:val="0"/>
          <w:numId w:val="1"/>
        </w:numPr>
        <w:spacing w:after="0"/>
        <w:jc w:val="both"/>
        <w:rPr>
          <w:sz w:val="24"/>
          <w:szCs w:val="24"/>
        </w:rPr>
      </w:pPr>
      <w:r w:rsidRPr="00F95F96">
        <w:rPr>
          <w:sz w:val="24"/>
          <w:szCs w:val="24"/>
        </w:rPr>
        <w:t>Hermenean, Anca; Stan, Miruna; Ardelean, Aurel; Pilat, Luminita; Mihali, Ciprian Valentin; Popescu, Cristina; Nagy, Lajos; Deak, Gyoergy; Zsuga, Miklos; Keki, Sandor; Bacskay, Ildiko; Fenyvesi, Ferenc; Costache, Marieta; Dinischiotu, Anca; Vecsernyes, Miklos</w:t>
      </w:r>
      <w:r w:rsidRPr="00F95F96">
        <w:rPr>
          <w:sz w:val="24"/>
          <w:szCs w:val="24"/>
        </w:rPr>
        <w:tab/>
        <w:t>Antioxidant and hepatoprotective activity of milk thistle (Silybum marianum L. Gaertn.) seed oil, Open Life Sciences, 2015, Vol.10, pp.225-236, ISSN 2391-5412</w:t>
      </w:r>
      <w:r w:rsidRPr="00F95F96">
        <w:rPr>
          <w:sz w:val="24"/>
          <w:szCs w:val="24"/>
        </w:rPr>
        <w:tab/>
      </w:r>
    </w:p>
    <w:p w14:paraId="1E6F2B9D" w14:textId="77777777" w:rsidR="00F95F96" w:rsidRPr="00F95F96" w:rsidRDefault="00F95F96" w:rsidP="00F95F96">
      <w:pPr>
        <w:pStyle w:val="ListParagraph"/>
        <w:rPr>
          <w:sz w:val="24"/>
          <w:szCs w:val="24"/>
        </w:rPr>
      </w:pPr>
    </w:p>
    <w:p w14:paraId="6FCA251C" w14:textId="22F9DB9E" w:rsidR="00785A98" w:rsidRDefault="00785A98" w:rsidP="00F95F96">
      <w:pPr>
        <w:pStyle w:val="ListParagraph"/>
        <w:numPr>
          <w:ilvl w:val="0"/>
          <w:numId w:val="1"/>
        </w:numPr>
        <w:spacing w:after="0"/>
        <w:jc w:val="both"/>
        <w:rPr>
          <w:sz w:val="24"/>
          <w:szCs w:val="24"/>
        </w:rPr>
      </w:pPr>
      <w:r w:rsidRPr="00F95F96">
        <w:rPr>
          <w:sz w:val="24"/>
          <w:szCs w:val="24"/>
        </w:rPr>
        <w:t>Hermenean A, Popescu C, Ardelean A, Stan M, Hadaruga N, Mihali CV, Costache M, Dinischiotu A. Hepatoprotective effects of Berberis vulgaris L. extract/β cyclodextrin on carbon tetrachloride-induced acute toxicity in mice Int J Mol Sci., 2012, 13(7), p.9014-9034, ISSN 1422-0067</w:t>
      </w:r>
      <w:r w:rsidRPr="00F95F96">
        <w:rPr>
          <w:sz w:val="24"/>
          <w:szCs w:val="24"/>
        </w:rPr>
        <w:tab/>
      </w:r>
    </w:p>
    <w:p w14:paraId="160F44D0" w14:textId="77777777" w:rsidR="00F95F96" w:rsidRPr="00F95F96" w:rsidRDefault="00F95F96" w:rsidP="00F95F96">
      <w:pPr>
        <w:pStyle w:val="ListParagraph"/>
        <w:rPr>
          <w:sz w:val="24"/>
          <w:szCs w:val="24"/>
        </w:rPr>
      </w:pPr>
    </w:p>
    <w:p w14:paraId="38FE95E3" w14:textId="7F8BF774" w:rsidR="00785A98" w:rsidRDefault="00785A98" w:rsidP="00F95F96">
      <w:pPr>
        <w:pStyle w:val="ListParagraph"/>
        <w:numPr>
          <w:ilvl w:val="0"/>
          <w:numId w:val="1"/>
        </w:numPr>
        <w:spacing w:after="0"/>
        <w:jc w:val="both"/>
        <w:rPr>
          <w:sz w:val="24"/>
          <w:szCs w:val="24"/>
        </w:rPr>
      </w:pPr>
      <w:r w:rsidRPr="00F95F96">
        <w:rPr>
          <w:sz w:val="24"/>
          <w:szCs w:val="24"/>
        </w:rPr>
        <w:t xml:space="preserve">Cornelia Păcurariu, Elena-Alina Tăculescu (Moacă), Robert Ianoş, Oana Marinică, Ciprian-Valentin Mihali, Vlad Socoliuc, Synthesis and characterization of γ-Fe2O3/SiO2 composites as possible candidates for </w:t>
      </w:r>
      <w:r w:rsidRPr="00F95F96">
        <w:rPr>
          <w:sz w:val="24"/>
          <w:szCs w:val="24"/>
        </w:rPr>
        <w:lastRenderedPageBreak/>
        <w:t xml:space="preserve">magnetic paper manufacture, </w:t>
      </w:r>
      <w:r w:rsidRPr="00F95F96">
        <w:rPr>
          <w:sz w:val="24"/>
          <w:szCs w:val="24"/>
        </w:rPr>
        <w:tab/>
        <w:t>Ceramics International, 2015, Volume 41, Issue 1, Part B,  Pages 1079-1085, ISSN 0272-8842</w:t>
      </w:r>
      <w:r w:rsidRPr="00F95F96">
        <w:rPr>
          <w:sz w:val="24"/>
          <w:szCs w:val="24"/>
        </w:rPr>
        <w:tab/>
      </w:r>
    </w:p>
    <w:p w14:paraId="221EC991" w14:textId="77777777" w:rsidR="00F95F96" w:rsidRPr="00F95F96" w:rsidRDefault="00F95F96" w:rsidP="00F95F96">
      <w:pPr>
        <w:pStyle w:val="ListParagraph"/>
        <w:rPr>
          <w:sz w:val="24"/>
          <w:szCs w:val="24"/>
        </w:rPr>
      </w:pPr>
    </w:p>
    <w:p w14:paraId="19C902E7" w14:textId="19B0ED22" w:rsidR="00785A98" w:rsidRDefault="00785A98" w:rsidP="00F95F96">
      <w:pPr>
        <w:pStyle w:val="ListParagraph"/>
        <w:numPr>
          <w:ilvl w:val="0"/>
          <w:numId w:val="1"/>
        </w:numPr>
        <w:spacing w:after="0"/>
        <w:jc w:val="both"/>
        <w:rPr>
          <w:sz w:val="24"/>
          <w:szCs w:val="24"/>
        </w:rPr>
      </w:pPr>
      <w:r w:rsidRPr="00F95F96">
        <w:rPr>
          <w:sz w:val="24"/>
          <w:szCs w:val="24"/>
        </w:rPr>
        <w:t>Pavel, Ioana Zinuca; Csuk, Rene; Danciu, Corina; Avram, Stefana; Baderca, Flavia; Cioca, Andreea; Moaca, Elena-Alina; Mihali, Ciprian-Valentin; Pinzaru, Iulia; Muntean, Danina Mirela; Dehelean, Cristina Adriana, Assessment of the Antiangiogenic and Anti-Inflammatory Properties of a Maslinic Acid Derivative and its Potentiation using Zinc Chloride, Int J Mol Sci., 2019 Jun 10, 20(11), p.2828, ISSN 1422-0067</w:t>
      </w:r>
      <w:r w:rsidRPr="00F95F96">
        <w:rPr>
          <w:sz w:val="24"/>
          <w:szCs w:val="24"/>
        </w:rPr>
        <w:tab/>
      </w:r>
    </w:p>
    <w:p w14:paraId="5C3B369E" w14:textId="77777777" w:rsidR="00F95F96" w:rsidRPr="00F95F96" w:rsidRDefault="00F95F96" w:rsidP="00F95F96">
      <w:pPr>
        <w:pStyle w:val="ListParagraph"/>
        <w:rPr>
          <w:sz w:val="24"/>
          <w:szCs w:val="24"/>
        </w:rPr>
      </w:pPr>
    </w:p>
    <w:p w14:paraId="4571CDF7" w14:textId="77777777" w:rsidR="00F95F96" w:rsidRDefault="00785A98" w:rsidP="00785A98">
      <w:pPr>
        <w:pStyle w:val="ListParagraph"/>
        <w:numPr>
          <w:ilvl w:val="0"/>
          <w:numId w:val="1"/>
        </w:numPr>
        <w:spacing w:after="0"/>
        <w:jc w:val="both"/>
        <w:rPr>
          <w:sz w:val="24"/>
          <w:szCs w:val="24"/>
        </w:rPr>
      </w:pPr>
      <w:r w:rsidRPr="00F95F96">
        <w:rPr>
          <w:sz w:val="24"/>
          <w:szCs w:val="24"/>
        </w:rPr>
        <w:t>Moaca, Elena-Alina; Mihali, Ciprian-Valentin; Macasoi, Ioana-Gabriela; Racoviceanu (Babuta), Roxana; Soica, Codruta; Dehelean, Cristina-Adriana; Pacurariu, Cornelia; Florescu, Sorin</w:t>
      </w:r>
      <w:r w:rsidRPr="00F95F96">
        <w:rPr>
          <w:sz w:val="24"/>
          <w:szCs w:val="24"/>
        </w:rPr>
        <w:tab/>
        <w:t>Fe3O4@C Matrix with Tailorable Adsorption Capacities for Paracetamol and Acetylsalicylic Acid: Synthesis, Characterization, and Kinetic Modeling, Molecules 2019, 24(9), p.1727, ISSN 1420-3049</w:t>
      </w:r>
      <w:r w:rsidRPr="00F95F96">
        <w:rPr>
          <w:sz w:val="24"/>
          <w:szCs w:val="24"/>
        </w:rPr>
        <w:tab/>
      </w:r>
    </w:p>
    <w:p w14:paraId="39F749AF" w14:textId="77777777" w:rsidR="00F95F96" w:rsidRPr="00F95F96" w:rsidRDefault="00F95F96" w:rsidP="00F95F96">
      <w:pPr>
        <w:pStyle w:val="ListParagraph"/>
        <w:rPr>
          <w:sz w:val="24"/>
          <w:szCs w:val="24"/>
        </w:rPr>
      </w:pPr>
    </w:p>
    <w:p w14:paraId="33314695" w14:textId="77777777" w:rsidR="00F95F96" w:rsidRDefault="00785A98" w:rsidP="00F95F96">
      <w:pPr>
        <w:pStyle w:val="ListParagraph"/>
        <w:numPr>
          <w:ilvl w:val="0"/>
          <w:numId w:val="1"/>
        </w:numPr>
        <w:spacing w:after="0"/>
        <w:jc w:val="both"/>
        <w:rPr>
          <w:sz w:val="24"/>
          <w:szCs w:val="24"/>
        </w:rPr>
      </w:pPr>
      <w:r w:rsidRPr="00F95F96">
        <w:rPr>
          <w:sz w:val="24"/>
          <w:szCs w:val="24"/>
        </w:rPr>
        <w:t>Hanganu, Daniela; Benedec, Daniela; Vlase, Laurian; Popica, Iulia; Bele, Constantin; Raita, Oana; Gheldiu, Ana-Maria; Mihali, Ciprian Valentin; Tarmure, Viorica, Polyphenolic Content And Antioxidant Activity Of Chrysanthemum Parthenium Extract, Farmacia, Jul-aug 2016, 64 (4), pp.498-501, ISSN 0014-8237</w:t>
      </w:r>
      <w:r w:rsidRPr="00F95F96">
        <w:rPr>
          <w:sz w:val="24"/>
          <w:szCs w:val="24"/>
        </w:rPr>
        <w:tab/>
      </w:r>
    </w:p>
    <w:p w14:paraId="046D8C89" w14:textId="77777777" w:rsidR="00F95F96" w:rsidRPr="00F95F96" w:rsidRDefault="00F95F96" w:rsidP="00F95F96">
      <w:pPr>
        <w:pStyle w:val="ListParagraph"/>
        <w:rPr>
          <w:sz w:val="24"/>
          <w:szCs w:val="24"/>
        </w:rPr>
      </w:pPr>
    </w:p>
    <w:p w14:paraId="2B0D8117" w14:textId="5BA2B936" w:rsidR="00785A98" w:rsidRPr="00785A98" w:rsidRDefault="00785A98" w:rsidP="00F95F96">
      <w:pPr>
        <w:pStyle w:val="ListParagraph"/>
        <w:numPr>
          <w:ilvl w:val="0"/>
          <w:numId w:val="1"/>
        </w:numPr>
        <w:spacing w:after="0"/>
        <w:jc w:val="both"/>
        <w:rPr>
          <w:sz w:val="24"/>
          <w:szCs w:val="24"/>
        </w:rPr>
      </w:pPr>
      <w:r w:rsidRPr="00785A98">
        <w:rPr>
          <w:sz w:val="24"/>
          <w:szCs w:val="24"/>
        </w:rPr>
        <w:t>M. Poienar, R. Banica, P. Sfirloaga, C. Ianasi, C.V. Mihali, P. Vlazan, Microwave-assisted hydrothermal synthesis and catalytic activity study of crednerite-type CuMnO2 materials, Ceramics International, 2018, Volume 44, Issue 6, Pages 6157-6161,  ISSN 0272-8842</w:t>
      </w:r>
    </w:p>
    <w:p w14:paraId="401E23BA" w14:textId="78A11E4B" w:rsidR="00785A98" w:rsidRDefault="00785A98" w:rsidP="00785A98">
      <w:pPr>
        <w:spacing w:after="0"/>
        <w:jc w:val="both"/>
        <w:rPr>
          <w:sz w:val="24"/>
          <w:szCs w:val="24"/>
        </w:rPr>
      </w:pPr>
      <w:r w:rsidRPr="00785A98">
        <w:rPr>
          <w:sz w:val="24"/>
          <w:szCs w:val="24"/>
        </w:rPr>
        <w:tab/>
      </w:r>
    </w:p>
    <w:p w14:paraId="36269D1D" w14:textId="0E987DD4" w:rsidR="00785A98" w:rsidRPr="00785A98" w:rsidRDefault="00E2782F" w:rsidP="00E2782F">
      <w:pPr>
        <w:spacing w:after="0"/>
        <w:ind w:left="1134" w:hanging="425"/>
        <w:jc w:val="both"/>
        <w:rPr>
          <w:sz w:val="24"/>
          <w:szCs w:val="24"/>
        </w:rPr>
      </w:pPr>
      <w:r w:rsidRPr="00E2782F">
        <w:rPr>
          <w:b/>
          <w:bCs/>
          <w:sz w:val="24"/>
          <w:szCs w:val="24"/>
        </w:rPr>
        <w:t>18.</w:t>
      </w:r>
      <w:r w:rsidRPr="00785A98">
        <w:rPr>
          <w:sz w:val="24"/>
          <w:szCs w:val="24"/>
        </w:rPr>
        <w:t xml:space="preserve"> </w:t>
      </w:r>
      <w:r w:rsidR="00785A98" w:rsidRPr="00785A98">
        <w:rPr>
          <w:sz w:val="24"/>
          <w:szCs w:val="24"/>
        </w:rPr>
        <w:t>Moaca, Elena-Alina; Farcas, Claudia; Coricovact, Dorina; Avram, Stefana; Mihali, Ciprian-Valentin; Draghici, George-Andrei; Loghin, Felicia; Pacurariu, Cornelia; Dehelean, Cristina</w:t>
      </w:r>
      <w:r w:rsidR="00785A98" w:rsidRPr="00785A98">
        <w:rPr>
          <w:sz w:val="24"/>
          <w:szCs w:val="24"/>
        </w:rPr>
        <w:tab/>
        <w:t>, Oleic Acid Double Coated Fe3O4 Nanoparticles as Anti-Melanoma Compounds with a Complex Mechanism of Activity-In Vitro and In Ovo Assessment, J Biomed Nanotechnol., 2019 May 1, 15(5), p.893-909, ISSN1550-7033</w:t>
      </w:r>
      <w:r w:rsidR="00785A98" w:rsidRPr="00785A98">
        <w:rPr>
          <w:sz w:val="24"/>
          <w:szCs w:val="24"/>
        </w:rPr>
        <w:tab/>
      </w:r>
    </w:p>
    <w:p w14:paraId="02663AC7" w14:textId="57AAE37D" w:rsidR="00785A98" w:rsidRDefault="00E2782F" w:rsidP="00E2782F">
      <w:pPr>
        <w:spacing w:after="0"/>
        <w:ind w:left="1134" w:hanging="425"/>
        <w:jc w:val="both"/>
        <w:rPr>
          <w:sz w:val="24"/>
          <w:szCs w:val="24"/>
        </w:rPr>
      </w:pPr>
      <w:r w:rsidRPr="00E2782F">
        <w:rPr>
          <w:b/>
          <w:bCs/>
          <w:sz w:val="24"/>
          <w:szCs w:val="24"/>
        </w:rPr>
        <w:t>19.</w:t>
      </w:r>
      <w:r>
        <w:rPr>
          <w:sz w:val="24"/>
          <w:szCs w:val="24"/>
        </w:rPr>
        <w:t xml:space="preserve"> </w:t>
      </w:r>
      <w:r w:rsidR="00785A98" w:rsidRPr="00785A98">
        <w:rPr>
          <w:sz w:val="24"/>
          <w:szCs w:val="24"/>
        </w:rPr>
        <w:t>Șelaru, A.; Herman, H.; Vlăsceanu, G.M.; Dinescu, S.; Gharbia, S.; Baltă, C.; Roșu, M.; Mihali, C.V.; Ioniță, M.; Serafim, A.; et al. Graphene–Oxide Porous Biopolymer Hybrids Enhance In Vitro Osteogenic Differentiation and Promote Ectopic Osteogenesis In Vivo. Int. J. Mol. Sci. 2022, 23, 491. https://doi.org/10.3390/ijms23010491</w:t>
      </w:r>
      <w:r w:rsidR="00785A98" w:rsidRPr="00785A98">
        <w:rPr>
          <w:sz w:val="24"/>
          <w:szCs w:val="24"/>
        </w:rPr>
        <w:tab/>
      </w:r>
    </w:p>
    <w:p w14:paraId="7980A79B" w14:textId="77777777" w:rsidR="00E2782F" w:rsidRPr="00785A98" w:rsidRDefault="00E2782F" w:rsidP="00E2782F">
      <w:pPr>
        <w:spacing w:after="0"/>
        <w:ind w:left="1134" w:hanging="425"/>
        <w:jc w:val="both"/>
        <w:rPr>
          <w:sz w:val="24"/>
          <w:szCs w:val="24"/>
        </w:rPr>
      </w:pPr>
    </w:p>
    <w:p w14:paraId="26E9A495" w14:textId="6B7117E7" w:rsidR="00785A98" w:rsidRDefault="00E2782F" w:rsidP="00E2782F">
      <w:pPr>
        <w:spacing w:after="0"/>
        <w:ind w:left="1134" w:hanging="425"/>
        <w:jc w:val="both"/>
        <w:rPr>
          <w:sz w:val="24"/>
          <w:szCs w:val="24"/>
        </w:rPr>
      </w:pPr>
      <w:r>
        <w:rPr>
          <w:sz w:val="24"/>
          <w:szCs w:val="24"/>
        </w:rPr>
        <w:t xml:space="preserve"> </w:t>
      </w:r>
      <w:r w:rsidRPr="00E2782F">
        <w:rPr>
          <w:b/>
          <w:bCs/>
          <w:sz w:val="24"/>
          <w:szCs w:val="24"/>
        </w:rPr>
        <w:t>20.</w:t>
      </w:r>
      <w:r>
        <w:rPr>
          <w:sz w:val="24"/>
          <w:szCs w:val="24"/>
        </w:rPr>
        <w:t xml:space="preserve"> </w:t>
      </w:r>
      <w:r w:rsidR="00785A98" w:rsidRPr="00785A98">
        <w:rPr>
          <w:sz w:val="24"/>
          <w:szCs w:val="24"/>
        </w:rPr>
        <w:t xml:space="preserve">Ilie, Daniela Elena; Mizeranschi, Alexandru Eugeniu; Mihali, Ciprian Valentin; </w:t>
      </w:r>
      <w:r>
        <w:rPr>
          <w:sz w:val="24"/>
          <w:szCs w:val="24"/>
        </w:rPr>
        <w:t xml:space="preserve"> </w:t>
      </w:r>
      <w:r w:rsidR="00785A98" w:rsidRPr="00785A98">
        <w:rPr>
          <w:sz w:val="24"/>
          <w:szCs w:val="24"/>
        </w:rPr>
        <w:t xml:space="preserve">Neam, Radu Ionel; Goilean, George Vlad; Georgescu, Ovidiu Ionut; Zaharie, Daniela; Carabas, Mihai; Hutu, Ioan, Genome-Wide Association Studies for </w:t>
      </w:r>
      <w:r w:rsidR="00785A98" w:rsidRPr="00785A98">
        <w:rPr>
          <w:sz w:val="24"/>
          <w:szCs w:val="24"/>
        </w:rPr>
        <w:lastRenderedPageBreak/>
        <w:t>Milk Somatic Cell Score in Romanian Dairy Cattle, Genes (Basel), 2021 Sep 24, 12(10), p.1495, ISSN 2073-4425</w:t>
      </w:r>
      <w:r w:rsidR="00785A98" w:rsidRPr="00785A98">
        <w:rPr>
          <w:sz w:val="24"/>
          <w:szCs w:val="24"/>
        </w:rPr>
        <w:tab/>
      </w:r>
    </w:p>
    <w:p w14:paraId="56A1CFB6" w14:textId="77777777" w:rsidR="00074634" w:rsidRPr="00785A98" w:rsidRDefault="00074634" w:rsidP="00E2782F">
      <w:pPr>
        <w:spacing w:after="0"/>
        <w:ind w:left="1134" w:hanging="425"/>
        <w:jc w:val="both"/>
        <w:rPr>
          <w:sz w:val="24"/>
          <w:szCs w:val="24"/>
        </w:rPr>
      </w:pPr>
    </w:p>
    <w:p w14:paraId="6C5BBC20" w14:textId="3A8B5B19" w:rsidR="00785A98" w:rsidRPr="00785A98" w:rsidRDefault="00074634" w:rsidP="00E2782F">
      <w:pPr>
        <w:spacing w:after="0"/>
        <w:ind w:left="1134" w:hanging="425"/>
        <w:jc w:val="both"/>
        <w:rPr>
          <w:sz w:val="24"/>
          <w:szCs w:val="24"/>
        </w:rPr>
      </w:pPr>
      <w:r w:rsidRPr="00074634">
        <w:rPr>
          <w:b/>
          <w:bCs/>
          <w:sz w:val="24"/>
          <w:szCs w:val="24"/>
        </w:rPr>
        <w:t>21.</w:t>
      </w:r>
      <w:r>
        <w:rPr>
          <w:sz w:val="24"/>
          <w:szCs w:val="24"/>
        </w:rPr>
        <w:t xml:space="preserve"> </w:t>
      </w:r>
      <w:r w:rsidR="00785A98" w:rsidRPr="00785A98">
        <w:rPr>
          <w:sz w:val="24"/>
          <w:szCs w:val="24"/>
        </w:rPr>
        <w:t>Marcela Stoia, Cornelia Păcurariu,  Ciprian Valentin Mihali,  Iosif Mălăescu,  Aylin Căpraru, Manganese ferrite-polyaniline hybrid materials: Electrical and magnetic properties, Ceramics Internațional, 2019, Volume 45, Issue 2, Part B,  Pages 2725-2735, ISSN 0272-8842</w:t>
      </w:r>
      <w:r w:rsidR="00785A98" w:rsidRPr="00785A98">
        <w:rPr>
          <w:sz w:val="24"/>
          <w:szCs w:val="24"/>
        </w:rPr>
        <w:tab/>
      </w:r>
    </w:p>
    <w:p w14:paraId="5C343088" w14:textId="77777777" w:rsidR="00074634" w:rsidRDefault="00785A98" w:rsidP="00E2782F">
      <w:pPr>
        <w:spacing w:after="0"/>
        <w:ind w:left="1134" w:hanging="425"/>
        <w:jc w:val="both"/>
        <w:rPr>
          <w:sz w:val="24"/>
          <w:szCs w:val="24"/>
        </w:rPr>
      </w:pPr>
      <w:r w:rsidRPr="00785A98">
        <w:rPr>
          <w:sz w:val="24"/>
          <w:szCs w:val="24"/>
        </w:rPr>
        <w:tab/>
      </w:r>
    </w:p>
    <w:p w14:paraId="164CF9DC" w14:textId="385991CD" w:rsidR="00785A98" w:rsidRDefault="00074634" w:rsidP="00E2782F">
      <w:pPr>
        <w:spacing w:after="0"/>
        <w:ind w:left="1134" w:hanging="425"/>
        <w:jc w:val="both"/>
        <w:rPr>
          <w:sz w:val="24"/>
          <w:szCs w:val="24"/>
        </w:rPr>
      </w:pPr>
      <w:r w:rsidRPr="00074634">
        <w:rPr>
          <w:b/>
          <w:bCs/>
          <w:sz w:val="24"/>
          <w:szCs w:val="24"/>
        </w:rPr>
        <w:t>22.</w:t>
      </w:r>
      <w:r>
        <w:rPr>
          <w:sz w:val="24"/>
          <w:szCs w:val="24"/>
        </w:rPr>
        <w:t xml:space="preserve"> </w:t>
      </w:r>
      <w:r w:rsidR="00785A98" w:rsidRPr="00785A98">
        <w:rPr>
          <w:sz w:val="24"/>
          <w:szCs w:val="24"/>
        </w:rPr>
        <w:t xml:space="preserve">Szuhanek CA, Watz CG, Avram Ș, Moacă EA, Mihali CV, Popa A, Campan AA, Nicolov M, Dehelean CA., </w:t>
      </w:r>
      <w:r w:rsidR="00785A98" w:rsidRPr="00785A98">
        <w:rPr>
          <w:sz w:val="24"/>
          <w:szCs w:val="24"/>
        </w:rPr>
        <w:tab/>
        <w:t>Comparative Toxicological In Vitro and In Ovo Screening of Different Orthodontic Implants Currently Used in Dentistry. Materials (Basel), 2020 Dec 13, 13(24), p.5690, ISSN 1996-1944</w:t>
      </w:r>
      <w:r w:rsidR="00785A98" w:rsidRPr="00785A98">
        <w:rPr>
          <w:sz w:val="24"/>
          <w:szCs w:val="24"/>
        </w:rPr>
        <w:tab/>
      </w:r>
    </w:p>
    <w:p w14:paraId="7CAE4C1D" w14:textId="77777777" w:rsidR="006D29E0" w:rsidRPr="00785A98" w:rsidRDefault="006D29E0" w:rsidP="00E2782F">
      <w:pPr>
        <w:spacing w:after="0"/>
        <w:ind w:left="1134" w:hanging="425"/>
        <w:jc w:val="both"/>
        <w:rPr>
          <w:sz w:val="24"/>
          <w:szCs w:val="24"/>
        </w:rPr>
      </w:pPr>
    </w:p>
    <w:p w14:paraId="221A257F" w14:textId="37BBDE94" w:rsidR="00785A98" w:rsidRDefault="006D29E0" w:rsidP="00E2782F">
      <w:pPr>
        <w:spacing w:after="0"/>
        <w:ind w:left="1134" w:hanging="425"/>
        <w:jc w:val="both"/>
        <w:rPr>
          <w:sz w:val="24"/>
          <w:szCs w:val="24"/>
        </w:rPr>
      </w:pPr>
      <w:r w:rsidRPr="0019217C">
        <w:rPr>
          <w:b/>
          <w:bCs/>
          <w:sz w:val="24"/>
          <w:szCs w:val="24"/>
        </w:rPr>
        <w:t>23.</w:t>
      </w:r>
      <w:r>
        <w:rPr>
          <w:sz w:val="24"/>
          <w:szCs w:val="24"/>
        </w:rPr>
        <w:t xml:space="preserve"> </w:t>
      </w:r>
      <w:r w:rsidR="00785A98" w:rsidRPr="00785A98">
        <w:rPr>
          <w:sz w:val="24"/>
          <w:szCs w:val="24"/>
        </w:rPr>
        <w:t>Fabricky MMC, Gabor AG, Milutinovici RA, Watz CG, Avram Ș, Drăghici G, Mihali CV, Moacă EA, Dehelean CA, Galuscan A, Buzatu R, Duma VF, Negrutiu ML, Sinescu C.</w:t>
      </w:r>
      <w:r w:rsidR="00785A98" w:rsidRPr="00785A98">
        <w:rPr>
          <w:sz w:val="24"/>
          <w:szCs w:val="24"/>
        </w:rPr>
        <w:tab/>
        <w:t xml:space="preserve">Scaffold-Type Structure Dental Ceramics with Different Compositions Evaluated through Physicochemical Characteristics and Biosecurity Profiles </w:t>
      </w:r>
      <w:r w:rsidR="00785A98" w:rsidRPr="00785A98">
        <w:rPr>
          <w:sz w:val="24"/>
          <w:szCs w:val="24"/>
        </w:rPr>
        <w:tab/>
        <w:t>Materials (Basel), 2021 Apr 27, 14(9),  p. 2266, ISSN ISSN 1996-1944</w:t>
      </w:r>
      <w:r w:rsidR="00785A98" w:rsidRPr="00785A98">
        <w:rPr>
          <w:sz w:val="24"/>
          <w:szCs w:val="24"/>
        </w:rPr>
        <w:tab/>
      </w:r>
    </w:p>
    <w:p w14:paraId="424339FD" w14:textId="77777777" w:rsidR="0019217C" w:rsidRPr="00785A98" w:rsidRDefault="0019217C" w:rsidP="00E2782F">
      <w:pPr>
        <w:spacing w:after="0"/>
        <w:ind w:left="1134" w:hanging="425"/>
        <w:jc w:val="both"/>
        <w:rPr>
          <w:sz w:val="24"/>
          <w:szCs w:val="24"/>
        </w:rPr>
      </w:pPr>
    </w:p>
    <w:p w14:paraId="601D31EE" w14:textId="310F2DEF" w:rsidR="00785A98" w:rsidRDefault="0019217C" w:rsidP="00E2782F">
      <w:pPr>
        <w:spacing w:after="0"/>
        <w:ind w:left="1134" w:hanging="425"/>
        <w:jc w:val="both"/>
        <w:rPr>
          <w:sz w:val="24"/>
          <w:szCs w:val="24"/>
        </w:rPr>
      </w:pPr>
      <w:r>
        <w:rPr>
          <w:sz w:val="24"/>
          <w:szCs w:val="24"/>
        </w:rPr>
        <w:t xml:space="preserve"> </w:t>
      </w:r>
      <w:r w:rsidRPr="0019217C">
        <w:rPr>
          <w:b/>
          <w:bCs/>
          <w:sz w:val="24"/>
          <w:szCs w:val="24"/>
        </w:rPr>
        <w:t>24.</w:t>
      </w:r>
      <w:r>
        <w:rPr>
          <w:sz w:val="24"/>
          <w:szCs w:val="24"/>
        </w:rPr>
        <w:t xml:space="preserve"> </w:t>
      </w:r>
      <w:r w:rsidR="00785A98" w:rsidRPr="00785A98">
        <w:rPr>
          <w:sz w:val="24"/>
          <w:szCs w:val="24"/>
        </w:rPr>
        <w:t xml:space="preserve">Ioana Ligia Pîrvulescu, Daniel Pop, Elena-Alina Moacă, Ciprian-Valentin Mihali, Codruța Ille and Anca Jivănescu, Effects of Simulated Gastric Acid Exposure on Surface Topography, Mechanical and Optical Features of Commercial CAD/CAM Ceramic Blocks </w:t>
      </w:r>
      <w:r w:rsidR="00785A98" w:rsidRPr="00785A98">
        <w:rPr>
          <w:sz w:val="24"/>
          <w:szCs w:val="24"/>
        </w:rPr>
        <w:tab/>
        <w:t>Appl. Sci.,  2021, 11, p. 8703,  ISSN 2076-3417</w:t>
      </w:r>
      <w:r w:rsidR="00785A98" w:rsidRPr="00785A98">
        <w:rPr>
          <w:sz w:val="24"/>
          <w:szCs w:val="24"/>
        </w:rPr>
        <w:tab/>
      </w:r>
    </w:p>
    <w:p w14:paraId="339758DD" w14:textId="77777777" w:rsidR="0019217C" w:rsidRPr="00785A98" w:rsidRDefault="0019217C" w:rsidP="00E2782F">
      <w:pPr>
        <w:spacing w:after="0"/>
        <w:ind w:left="1134" w:hanging="425"/>
        <w:jc w:val="both"/>
        <w:rPr>
          <w:sz w:val="24"/>
          <w:szCs w:val="24"/>
        </w:rPr>
      </w:pPr>
    </w:p>
    <w:p w14:paraId="5B116B86" w14:textId="7078E86D" w:rsidR="00785A98" w:rsidRDefault="0019217C" w:rsidP="00E2782F">
      <w:pPr>
        <w:spacing w:after="0"/>
        <w:ind w:left="1134" w:hanging="425"/>
        <w:jc w:val="both"/>
        <w:rPr>
          <w:sz w:val="24"/>
          <w:szCs w:val="24"/>
        </w:rPr>
      </w:pPr>
      <w:r w:rsidRPr="0019217C">
        <w:rPr>
          <w:b/>
          <w:bCs/>
          <w:sz w:val="24"/>
          <w:szCs w:val="24"/>
        </w:rPr>
        <w:t>25.</w:t>
      </w:r>
      <w:r w:rsidR="00785A98" w:rsidRPr="0019217C">
        <w:rPr>
          <w:b/>
          <w:bCs/>
          <w:sz w:val="24"/>
          <w:szCs w:val="24"/>
        </w:rPr>
        <w:tab/>
      </w:r>
      <w:r w:rsidR="00785A98" w:rsidRPr="00785A98">
        <w:rPr>
          <w:sz w:val="24"/>
          <w:szCs w:val="24"/>
        </w:rPr>
        <w:t>Bugari, Radmila-Anca; Baschir, Aristide Sorin; Turcin, Luminita Adela; Chioreanu, Alexandru; Mihali, Ciprian Valentin; Ilie, Adrian Cosmin; Jompan, Afilon; Balasoiu, Maria</w:t>
      </w:r>
      <w:r w:rsidR="00785A98" w:rsidRPr="00785A98">
        <w:rPr>
          <w:sz w:val="24"/>
          <w:szCs w:val="24"/>
        </w:rPr>
        <w:tab/>
        <w:t>Adenoidal bacterial biofilm in pediatric rhinosinusitis, Rom J. Morphol. Embryol., 2021 Apr-Jun, 62(2), p. 481-489, ISSN 1220-0522</w:t>
      </w:r>
    </w:p>
    <w:p w14:paraId="78114891" w14:textId="77777777" w:rsidR="0019217C" w:rsidRPr="00785A98" w:rsidRDefault="0019217C" w:rsidP="00E2782F">
      <w:pPr>
        <w:spacing w:after="0"/>
        <w:ind w:left="1134" w:hanging="425"/>
        <w:jc w:val="both"/>
        <w:rPr>
          <w:sz w:val="24"/>
          <w:szCs w:val="24"/>
        </w:rPr>
      </w:pPr>
    </w:p>
    <w:p w14:paraId="4656DB61" w14:textId="6CF9DC1E" w:rsidR="00785A98" w:rsidRDefault="0019217C" w:rsidP="00E2782F">
      <w:pPr>
        <w:spacing w:after="0"/>
        <w:ind w:left="1134" w:hanging="425"/>
        <w:jc w:val="both"/>
        <w:rPr>
          <w:sz w:val="24"/>
          <w:szCs w:val="24"/>
        </w:rPr>
      </w:pPr>
      <w:r w:rsidRPr="0019217C">
        <w:rPr>
          <w:b/>
          <w:bCs/>
          <w:sz w:val="24"/>
          <w:szCs w:val="24"/>
        </w:rPr>
        <w:t>26.</w:t>
      </w:r>
      <w:r>
        <w:rPr>
          <w:sz w:val="24"/>
          <w:szCs w:val="24"/>
        </w:rPr>
        <w:t xml:space="preserve"> </w:t>
      </w:r>
      <w:r w:rsidR="00785A98" w:rsidRPr="00785A98">
        <w:rPr>
          <w:sz w:val="24"/>
          <w:szCs w:val="24"/>
        </w:rPr>
        <w:t>Schröder V, Rău I, Dobrin N, Stefanov C, Mihali CV, Pădureţu CC, Apetroaei MR., Micromorphological details and identification of chitinous wall structures in Rapana venosa (Gastropoda, Mollusca) egg capsules, Sci Rep., 2020 Sep 3, 10(1), p.14550,  ISSN 2045-2322</w:t>
      </w:r>
      <w:r w:rsidR="00785A98" w:rsidRPr="00785A98">
        <w:rPr>
          <w:sz w:val="24"/>
          <w:szCs w:val="24"/>
        </w:rPr>
        <w:tab/>
        <w:t>1,285</w:t>
      </w:r>
      <w:r w:rsidR="00785A98" w:rsidRPr="00785A98">
        <w:rPr>
          <w:sz w:val="24"/>
          <w:szCs w:val="24"/>
        </w:rPr>
        <w:tab/>
        <w:t>8</w:t>
      </w:r>
      <w:r w:rsidR="00785A98" w:rsidRPr="00785A98">
        <w:rPr>
          <w:sz w:val="24"/>
          <w:szCs w:val="24"/>
        </w:rPr>
        <w:tab/>
        <w:t>14,696</w:t>
      </w:r>
    </w:p>
    <w:p w14:paraId="5FBCB111" w14:textId="77777777" w:rsidR="0019217C" w:rsidRPr="00785A98" w:rsidRDefault="0019217C" w:rsidP="00E2782F">
      <w:pPr>
        <w:spacing w:after="0"/>
        <w:ind w:left="1134" w:hanging="425"/>
        <w:jc w:val="both"/>
        <w:rPr>
          <w:sz w:val="24"/>
          <w:szCs w:val="24"/>
        </w:rPr>
      </w:pPr>
    </w:p>
    <w:p w14:paraId="0D2B0111" w14:textId="43BE353B" w:rsidR="00785A98" w:rsidRDefault="00614B5F" w:rsidP="00E2782F">
      <w:pPr>
        <w:spacing w:after="0"/>
        <w:ind w:left="1134" w:hanging="425"/>
        <w:jc w:val="both"/>
        <w:rPr>
          <w:sz w:val="24"/>
          <w:szCs w:val="24"/>
        </w:rPr>
      </w:pPr>
      <w:r w:rsidRPr="00614B5F">
        <w:rPr>
          <w:b/>
          <w:bCs/>
          <w:sz w:val="24"/>
          <w:szCs w:val="24"/>
        </w:rPr>
        <w:t>27.</w:t>
      </w:r>
      <w:r>
        <w:rPr>
          <w:sz w:val="24"/>
          <w:szCs w:val="24"/>
        </w:rPr>
        <w:t xml:space="preserve"> </w:t>
      </w:r>
      <w:r w:rsidR="00785A98" w:rsidRPr="00785A98">
        <w:rPr>
          <w:sz w:val="24"/>
          <w:szCs w:val="24"/>
        </w:rPr>
        <w:t>Ilie D.E., Gavojdian D., Kusza S., Neamt R.I., Mizeranschi A.E., Mihali C.V., Cziszter L.T., Kompetitive Allele Specific PCR Genotyping of 89 SNPs in Romanian Spotted and Romanian Brown Cattle Breeds and Their Association with Clinical Mastitis, Animals, 2023, 13, p.1484, ISSN 2076-2615</w:t>
      </w:r>
    </w:p>
    <w:p w14:paraId="5477A4ED" w14:textId="77777777" w:rsidR="00614B5F" w:rsidRPr="00785A98" w:rsidRDefault="00614B5F" w:rsidP="00E2782F">
      <w:pPr>
        <w:spacing w:after="0"/>
        <w:ind w:left="1134" w:hanging="425"/>
        <w:jc w:val="both"/>
        <w:rPr>
          <w:sz w:val="24"/>
          <w:szCs w:val="24"/>
        </w:rPr>
      </w:pPr>
    </w:p>
    <w:p w14:paraId="45D4A112" w14:textId="00556E61" w:rsidR="00785A98" w:rsidRPr="00785A98" w:rsidRDefault="00006FF2" w:rsidP="00E2782F">
      <w:pPr>
        <w:spacing w:after="0"/>
        <w:ind w:left="1134" w:hanging="425"/>
        <w:jc w:val="both"/>
        <w:rPr>
          <w:sz w:val="24"/>
          <w:szCs w:val="24"/>
        </w:rPr>
      </w:pPr>
      <w:r w:rsidRPr="00006FF2">
        <w:rPr>
          <w:b/>
          <w:bCs/>
          <w:sz w:val="24"/>
          <w:szCs w:val="24"/>
        </w:rPr>
        <w:t>28.</w:t>
      </w:r>
      <w:r>
        <w:rPr>
          <w:sz w:val="24"/>
          <w:szCs w:val="24"/>
        </w:rPr>
        <w:t xml:space="preserve"> </w:t>
      </w:r>
      <w:r w:rsidR="00785A98" w:rsidRPr="00785A98">
        <w:rPr>
          <w:sz w:val="24"/>
          <w:szCs w:val="24"/>
        </w:rPr>
        <w:t>Maria Poienar , Antoanetta Lungu , Paula Sfirloaga , Mihai Lungu , Ciprian Valentin Mihali , Paulina Vlazan</w:t>
      </w:r>
      <w:r w:rsidR="00785A98" w:rsidRPr="00785A98">
        <w:rPr>
          <w:sz w:val="24"/>
          <w:szCs w:val="24"/>
        </w:rPr>
        <w:tab/>
        <w:t xml:space="preserve">Use of ultrasound-assisted co-precipitation route to obtain CuMnO2 semiconductor nanomaterials,  </w:t>
      </w:r>
    </w:p>
    <w:p w14:paraId="09341CB7" w14:textId="687827EC" w:rsidR="00785A98" w:rsidRDefault="00785A98" w:rsidP="00006FF2">
      <w:pPr>
        <w:spacing w:after="0"/>
        <w:ind w:left="1134"/>
        <w:jc w:val="both"/>
        <w:rPr>
          <w:sz w:val="24"/>
          <w:szCs w:val="24"/>
        </w:rPr>
      </w:pPr>
      <w:r w:rsidRPr="00785A98">
        <w:rPr>
          <w:sz w:val="24"/>
          <w:szCs w:val="24"/>
        </w:rPr>
        <w:lastRenderedPageBreak/>
        <w:t>Chemical Papers, 2019,  73(5), p.1-6,  ISSN 2585-7290</w:t>
      </w:r>
      <w:r w:rsidRPr="00785A98">
        <w:rPr>
          <w:sz w:val="24"/>
          <w:szCs w:val="24"/>
        </w:rPr>
        <w:tab/>
      </w:r>
    </w:p>
    <w:p w14:paraId="7B92F7AF" w14:textId="77777777" w:rsidR="00006FF2" w:rsidRPr="00785A98" w:rsidRDefault="00006FF2" w:rsidP="00E2782F">
      <w:pPr>
        <w:spacing w:after="0"/>
        <w:ind w:left="1134" w:hanging="425"/>
        <w:jc w:val="both"/>
        <w:rPr>
          <w:sz w:val="24"/>
          <w:szCs w:val="24"/>
        </w:rPr>
      </w:pPr>
    </w:p>
    <w:p w14:paraId="2F3E3E8C" w14:textId="34B360B8" w:rsidR="00785A98" w:rsidRDefault="00006FF2" w:rsidP="00E2782F">
      <w:pPr>
        <w:spacing w:after="0"/>
        <w:ind w:left="1134" w:hanging="425"/>
        <w:jc w:val="both"/>
        <w:rPr>
          <w:sz w:val="24"/>
          <w:szCs w:val="24"/>
        </w:rPr>
      </w:pPr>
      <w:r w:rsidRPr="00006FF2">
        <w:rPr>
          <w:b/>
          <w:bCs/>
          <w:sz w:val="24"/>
          <w:szCs w:val="24"/>
        </w:rPr>
        <w:t>29.</w:t>
      </w:r>
      <w:r>
        <w:rPr>
          <w:sz w:val="24"/>
          <w:szCs w:val="24"/>
        </w:rPr>
        <w:t xml:space="preserve"> </w:t>
      </w:r>
      <w:r w:rsidR="00785A98" w:rsidRPr="00785A98">
        <w:rPr>
          <w:sz w:val="24"/>
          <w:szCs w:val="24"/>
        </w:rPr>
        <w:t>Ilie, D.E.; Mizeranschi, A.E.; Mihali, C.V.; Neamț, R.I.; Cziszter, L.T.; Carabaș, M.; Grădinaru, A.C. Polymorphism of the Prolactin (PRL) Gene and Its Effect on Milk Production Traits in Romanian Cattle Breeds. Vet. Sci. 2023, 10, 275. https://doi.org/10.3390/vetsci10040275</w:t>
      </w:r>
      <w:r w:rsidR="00785A98" w:rsidRPr="00785A98">
        <w:rPr>
          <w:sz w:val="24"/>
          <w:szCs w:val="24"/>
        </w:rPr>
        <w:tab/>
      </w:r>
    </w:p>
    <w:p w14:paraId="66BFF0D0" w14:textId="77777777" w:rsidR="000C1C4C" w:rsidRPr="00785A98" w:rsidRDefault="000C1C4C" w:rsidP="00E2782F">
      <w:pPr>
        <w:spacing w:after="0"/>
        <w:ind w:left="1134" w:hanging="425"/>
        <w:jc w:val="both"/>
        <w:rPr>
          <w:sz w:val="24"/>
          <w:szCs w:val="24"/>
        </w:rPr>
      </w:pPr>
    </w:p>
    <w:p w14:paraId="01F23ED4" w14:textId="0C7186C0" w:rsidR="00785A98" w:rsidRDefault="000C1C4C" w:rsidP="00E2782F">
      <w:pPr>
        <w:spacing w:after="0"/>
        <w:ind w:left="1134" w:hanging="425"/>
        <w:jc w:val="both"/>
        <w:rPr>
          <w:sz w:val="24"/>
          <w:szCs w:val="24"/>
        </w:rPr>
      </w:pPr>
      <w:r w:rsidRPr="000C1C4C">
        <w:rPr>
          <w:b/>
          <w:bCs/>
          <w:sz w:val="24"/>
          <w:szCs w:val="24"/>
        </w:rPr>
        <w:t>30.</w:t>
      </w:r>
      <w:r>
        <w:rPr>
          <w:sz w:val="24"/>
          <w:szCs w:val="24"/>
        </w:rPr>
        <w:t xml:space="preserve"> </w:t>
      </w:r>
      <w:r w:rsidR="00785A98" w:rsidRPr="00785A98">
        <w:rPr>
          <w:sz w:val="24"/>
          <w:szCs w:val="24"/>
        </w:rPr>
        <w:t>Farcas, Claudia Geanina; Moaca, Elena Alina; Dragoi, Razvan; Vaduva, Delia Berceanu; Marcovici, Iasmina; Mihali, Ciprian Valentin; Loghin, Felicia,</w:t>
      </w:r>
      <w:r w:rsidR="00785A98" w:rsidRPr="00785A98">
        <w:rPr>
          <w:sz w:val="24"/>
          <w:szCs w:val="24"/>
        </w:rPr>
        <w:tab/>
        <w:t>Preliminary Results of Betulinic Acid-Loaded Magnetoliposomes - a Potential Approach to Increase Therapeutic Efficacy in Melanoma, Revista De Chimie, sep 2019, 70 (9), pp.3372-3377, ISSN 1582-9049</w:t>
      </w:r>
      <w:r w:rsidR="00785A98" w:rsidRPr="00785A98">
        <w:rPr>
          <w:sz w:val="24"/>
          <w:szCs w:val="24"/>
        </w:rPr>
        <w:tab/>
      </w:r>
    </w:p>
    <w:p w14:paraId="32BEF021" w14:textId="77777777" w:rsidR="000C1C4C" w:rsidRPr="00785A98" w:rsidRDefault="000C1C4C" w:rsidP="00E2782F">
      <w:pPr>
        <w:spacing w:after="0"/>
        <w:ind w:left="1134" w:hanging="425"/>
        <w:jc w:val="both"/>
        <w:rPr>
          <w:sz w:val="24"/>
          <w:szCs w:val="24"/>
        </w:rPr>
      </w:pPr>
    </w:p>
    <w:p w14:paraId="456106CF" w14:textId="642E03CB" w:rsidR="00785A98" w:rsidRDefault="000C1C4C" w:rsidP="00E2782F">
      <w:pPr>
        <w:spacing w:after="0"/>
        <w:ind w:left="1134" w:hanging="425"/>
        <w:jc w:val="both"/>
        <w:rPr>
          <w:sz w:val="24"/>
          <w:szCs w:val="24"/>
        </w:rPr>
      </w:pPr>
      <w:r w:rsidRPr="000C1C4C">
        <w:rPr>
          <w:b/>
          <w:bCs/>
          <w:sz w:val="24"/>
          <w:szCs w:val="24"/>
        </w:rPr>
        <w:t>31.</w:t>
      </w:r>
      <w:r>
        <w:rPr>
          <w:sz w:val="24"/>
          <w:szCs w:val="24"/>
        </w:rPr>
        <w:t xml:space="preserve">  </w:t>
      </w:r>
      <w:r w:rsidR="00785A98" w:rsidRPr="00785A98">
        <w:rPr>
          <w:sz w:val="24"/>
          <w:szCs w:val="24"/>
        </w:rPr>
        <w:t xml:space="preserve">Ivan A, Herman H, Balta C, Hadaruga DI, Mihali CV, Ardelean A, Hermenean A. Berberis vulgaris extract/β-cyclodextrin complex increases protection of hepatic cells via suppression of apoptosis and lipogenesis pathways, Exp. Ther Med., 2017 Ma, 13(5) p.2143-2150, ISSN 1792-1015 </w:t>
      </w:r>
    </w:p>
    <w:p w14:paraId="2144B705" w14:textId="77777777" w:rsidR="000C1C4C" w:rsidRPr="00785A98" w:rsidRDefault="000C1C4C" w:rsidP="00E2782F">
      <w:pPr>
        <w:spacing w:after="0"/>
        <w:ind w:left="1134" w:hanging="425"/>
        <w:jc w:val="both"/>
        <w:rPr>
          <w:sz w:val="24"/>
          <w:szCs w:val="24"/>
        </w:rPr>
      </w:pPr>
    </w:p>
    <w:p w14:paraId="364F0B18" w14:textId="0D50BB7E" w:rsidR="00785A98" w:rsidRDefault="000C1C4C" w:rsidP="00E2782F">
      <w:pPr>
        <w:spacing w:after="0"/>
        <w:ind w:left="1134" w:hanging="425"/>
        <w:jc w:val="both"/>
        <w:rPr>
          <w:sz w:val="24"/>
          <w:szCs w:val="24"/>
        </w:rPr>
      </w:pPr>
      <w:r w:rsidRPr="000C1C4C">
        <w:rPr>
          <w:b/>
          <w:bCs/>
          <w:sz w:val="24"/>
          <w:szCs w:val="24"/>
        </w:rPr>
        <w:t>32.</w:t>
      </w:r>
      <w:r>
        <w:rPr>
          <w:sz w:val="24"/>
          <w:szCs w:val="24"/>
        </w:rPr>
        <w:t xml:space="preserve"> </w:t>
      </w:r>
      <w:r w:rsidR="00785A98" w:rsidRPr="00785A98">
        <w:rPr>
          <w:sz w:val="24"/>
          <w:szCs w:val="24"/>
        </w:rPr>
        <w:t xml:space="preserve">Constantin Bolcu, Dorina Modra, Gabriela Vlase, Nicolae Doca, Ciprian Valentin Mihali, Titus Vlase, Synthesis and thermal behavior of some diisocyanate–silane compounds </w:t>
      </w:r>
      <w:r w:rsidR="00785A98" w:rsidRPr="00785A98">
        <w:rPr>
          <w:sz w:val="24"/>
          <w:szCs w:val="24"/>
        </w:rPr>
        <w:tab/>
        <w:t>Journal of Thermal Analysis and Calorimetry, January 2014, Volume 115, Issue 1, pp 489–494, 1588-2926</w:t>
      </w:r>
      <w:r>
        <w:rPr>
          <w:sz w:val="24"/>
          <w:szCs w:val="24"/>
        </w:rPr>
        <w:t xml:space="preserve"> </w:t>
      </w:r>
    </w:p>
    <w:p w14:paraId="39EB73BE" w14:textId="77777777" w:rsidR="000C1C4C" w:rsidRPr="00785A98" w:rsidRDefault="000C1C4C" w:rsidP="00E2782F">
      <w:pPr>
        <w:spacing w:after="0"/>
        <w:ind w:left="1134" w:hanging="425"/>
        <w:jc w:val="both"/>
        <w:rPr>
          <w:sz w:val="24"/>
          <w:szCs w:val="24"/>
        </w:rPr>
      </w:pPr>
    </w:p>
    <w:p w14:paraId="116964AC" w14:textId="4CE2FF1B" w:rsidR="00785A98" w:rsidRDefault="000C1C4C" w:rsidP="00E2782F">
      <w:pPr>
        <w:spacing w:after="0"/>
        <w:ind w:left="1134" w:hanging="425"/>
        <w:jc w:val="both"/>
        <w:rPr>
          <w:sz w:val="24"/>
          <w:szCs w:val="24"/>
        </w:rPr>
      </w:pPr>
      <w:r w:rsidRPr="000C1C4C">
        <w:rPr>
          <w:b/>
          <w:bCs/>
          <w:sz w:val="24"/>
          <w:szCs w:val="24"/>
        </w:rPr>
        <w:t>33.</w:t>
      </w:r>
      <w:r>
        <w:rPr>
          <w:sz w:val="24"/>
          <w:szCs w:val="24"/>
        </w:rPr>
        <w:t xml:space="preserve"> </w:t>
      </w:r>
      <w:r w:rsidR="00785A98" w:rsidRPr="00785A98">
        <w:rPr>
          <w:sz w:val="24"/>
          <w:szCs w:val="24"/>
        </w:rPr>
        <w:t xml:space="preserve">Magda Mihaela Luca, Malina Popa, Claudia G. Watz, Iulia Pinzaru, George Andrei Draghici, Ciprian V. Mihali, Cristina Adriana Dehelean, Roxana Buzatu and Camelia Szuhanek, </w:t>
      </w:r>
      <w:r w:rsidR="00785A98" w:rsidRPr="00785A98">
        <w:rPr>
          <w:sz w:val="24"/>
          <w:szCs w:val="24"/>
        </w:rPr>
        <w:tab/>
        <w:t>Space Maintainers Used in Pediatric Dentistry: An Insight of Their Biosecurity Profile by Applying In Vitro Methods, Materials (Basel), 2021 Oct 19, 14(20), p.6215, ISSN 1996-1944</w:t>
      </w:r>
      <w:r w:rsidR="00785A98" w:rsidRPr="00785A98">
        <w:rPr>
          <w:sz w:val="24"/>
          <w:szCs w:val="24"/>
        </w:rPr>
        <w:tab/>
      </w:r>
    </w:p>
    <w:p w14:paraId="25B331C6" w14:textId="77777777" w:rsidR="000C1C4C" w:rsidRPr="00785A98" w:rsidRDefault="000C1C4C" w:rsidP="00E2782F">
      <w:pPr>
        <w:spacing w:after="0"/>
        <w:ind w:left="1134" w:hanging="425"/>
        <w:jc w:val="both"/>
        <w:rPr>
          <w:sz w:val="24"/>
          <w:szCs w:val="24"/>
        </w:rPr>
      </w:pPr>
    </w:p>
    <w:p w14:paraId="1347E2DE" w14:textId="0FCE1026" w:rsidR="00785A98" w:rsidRDefault="000C1C4C" w:rsidP="00E2782F">
      <w:pPr>
        <w:spacing w:after="0"/>
        <w:ind w:left="1134" w:hanging="425"/>
        <w:jc w:val="both"/>
        <w:rPr>
          <w:sz w:val="24"/>
          <w:szCs w:val="24"/>
        </w:rPr>
      </w:pPr>
      <w:r w:rsidRPr="000C1C4C">
        <w:rPr>
          <w:b/>
          <w:bCs/>
          <w:sz w:val="24"/>
          <w:szCs w:val="24"/>
        </w:rPr>
        <w:t>34.</w:t>
      </w:r>
      <w:r>
        <w:rPr>
          <w:sz w:val="24"/>
          <w:szCs w:val="24"/>
        </w:rPr>
        <w:t xml:space="preserve"> </w:t>
      </w:r>
      <w:r w:rsidR="00785A98" w:rsidRPr="00785A98">
        <w:rPr>
          <w:sz w:val="24"/>
          <w:szCs w:val="24"/>
        </w:rPr>
        <w:t xml:space="preserve">Buruiana, AM; Mihali, CV and Popescu, C., </w:t>
      </w:r>
      <w:r w:rsidR="00785A98" w:rsidRPr="00785A98">
        <w:rPr>
          <w:sz w:val="24"/>
          <w:szCs w:val="24"/>
        </w:rPr>
        <w:tab/>
        <w:t>Sequence-Based Identification of a Zoophilic Strain of Trichophyton interdigitale in a Rare Case of Tinea Blepharo-Ciliaris Associated with Tinea Barbae, Mycopathologia, Dec 2015, 180 (5-6), pp.403-406,  ISSN 1573-0832</w:t>
      </w:r>
      <w:r w:rsidR="00785A98" w:rsidRPr="00785A98">
        <w:rPr>
          <w:sz w:val="24"/>
          <w:szCs w:val="24"/>
        </w:rPr>
        <w:tab/>
      </w:r>
    </w:p>
    <w:p w14:paraId="2AA179E5" w14:textId="77777777" w:rsidR="000C1C4C" w:rsidRPr="00785A98" w:rsidRDefault="000C1C4C" w:rsidP="00E2782F">
      <w:pPr>
        <w:spacing w:after="0"/>
        <w:ind w:left="1134" w:hanging="425"/>
        <w:jc w:val="both"/>
        <w:rPr>
          <w:sz w:val="24"/>
          <w:szCs w:val="24"/>
        </w:rPr>
      </w:pPr>
    </w:p>
    <w:p w14:paraId="47D723F5" w14:textId="4B3FD87C" w:rsidR="00785A98" w:rsidRDefault="000C1C4C" w:rsidP="00E2782F">
      <w:pPr>
        <w:spacing w:after="0"/>
        <w:ind w:left="1134" w:hanging="425"/>
        <w:jc w:val="both"/>
        <w:rPr>
          <w:sz w:val="24"/>
          <w:szCs w:val="24"/>
        </w:rPr>
      </w:pPr>
      <w:r w:rsidRPr="000C1C4C">
        <w:rPr>
          <w:b/>
          <w:bCs/>
          <w:sz w:val="24"/>
          <w:szCs w:val="24"/>
        </w:rPr>
        <w:t>35.</w:t>
      </w:r>
      <w:r>
        <w:rPr>
          <w:sz w:val="24"/>
          <w:szCs w:val="24"/>
        </w:rPr>
        <w:t xml:space="preserve"> </w:t>
      </w:r>
      <w:r w:rsidR="00785A98" w:rsidRPr="00785A98">
        <w:rPr>
          <w:sz w:val="24"/>
          <w:szCs w:val="24"/>
        </w:rPr>
        <w:t>Ladasiu Ciolacu FC, Ardelean A, Turcus V, Mândrutiu I, Belengeanu AD, Bechet D, Frentescu L, Mihali CV, Benga G</w:t>
      </w:r>
      <w:r w:rsidR="00785A98" w:rsidRPr="00785A98">
        <w:rPr>
          <w:sz w:val="24"/>
          <w:szCs w:val="24"/>
        </w:rPr>
        <w:tab/>
        <w:t>A Simple, Sensitive and Highly Accurate Procedure for Plasma Phenylalanine Determination by HPLC, Acta Endo (Buc) 2015, 11 (2), p.143-146, ISSN 1841 – 0987</w:t>
      </w:r>
      <w:r w:rsidR="00785A98" w:rsidRPr="00785A98">
        <w:rPr>
          <w:sz w:val="24"/>
          <w:szCs w:val="24"/>
        </w:rPr>
        <w:tab/>
      </w:r>
    </w:p>
    <w:p w14:paraId="7FF39F38" w14:textId="77777777" w:rsidR="000C1C4C" w:rsidRPr="00785A98" w:rsidRDefault="000C1C4C" w:rsidP="00E2782F">
      <w:pPr>
        <w:spacing w:after="0"/>
        <w:ind w:left="1134" w:hanging="425"/>
        <w:jc w:val="both"/>
        <w:rPr>
          <w:sz w:val="24"/>
          <w:szCs w:val="24"/>
        </w:rPr>
      </w:pPr>
    </w:p>
    <w:p w14:paraId="238B4885" w14:textId="0797AD7A" w:rsidR="00785A98" w:rsidRPr="00785A98" w:rsidRDefault="000C1C4C" w:rsidP="00E2782F">
      <w:pPr>
        <w:spacing w:after="0"/>
        <w:ind w:left="1134" w:hanging="425"/>
        <w:jc w:val="both"/>
        <w:rPr>
          <w:sz w:val="24"/>
          <w:szCs w:val="24"/>
        </w:rPr>
      </w:pPr>
      <w:r w:rsidRPr="000C1C4C">
        <w:rPr>
          <w:b/>
          <w:bCs/>
          <w:sz w:val="24"/>
          <w:szCs w:val="24"/>
        </w:rPr>
        <w:t>36.</w:t>
      </w:r>
      <w:r>
        <w:rPr>
          <w:sz w:val="24"/>
          <w:szCs w:val="24"/>
        </w:rPr>
        <w:t xml:space="preserve"> </w:t>
      </w:r>
      <w:r w:rsidR="00785A98" w:rsidRPr="00785A98">
        <w:rPr>
          <w:sz w:val="24"/>
          <w:szCs w:val="24"/>
        </w:rPr>
        <w:t>Olinici, Doinita; Cotrutz, Carmen Elena; Mihali, Ciprian Valentin; Grecu, Vasile Bogdan; Botez, Emanuela Ana; Stoica, Laura; Onofrei, Pavel; Condurache, Oana; Dimitriu, Daniela Cristina, The ultrastructural features of the premalignant oral lesions, Rom J Morphol Embryol., 2018, 59(1), p.243-248, ISSN 1220-0522</w:t>
      </w:r>
      <w:r w:rsidR="00785A98" w:rsidRPr="00785A98">
        <w:rPr>
          <w:sz w:val="24"/>
          <w:szCs w:val="24"/>
        </w:rPr>
        <w:tab/>
      </w:r>
    </w:p>
    <w:p w14:paraId="3169D9FA" w14:textId="38E1C533" w:rsidR="00785A98" w:rsidRDefault="000C1C4C" w:rsidP="00E2782F">
      <w:pPr>
        <w:spacing w:after="0"/>
        <w:ind w:left="1134" w:hanging="425"/>
        <w:jc w:val="both"/>
        <w:rPr>
          <w:sz w:val="24"/>
          <w:szCs w:val="24"/>
        </w:rPr>
      </w:pPr>
      <w:r w:rsidRPr="000C1C4C">
        <w:rPr>
          <w:b/>
          <w:bCs/>
          <w:sz w:val="24"/>
          <w:szCs w:val="24"/>
        </w:rPr>
        <w:lastRenderedPageBreak/>
        <w:t>37.</w:t>
      </w:r>
      <w:r>
        <w:rPr>
          <w:sz w:val="24"/>
          <w:szCs w:val="24"/>
        </w:rPr>
        <w:t xml:space="preserve"> </w:t>
      </w:r>
      <w:r w:rsidR="00785A98" w:rsidRPr="00785A98">
        <w:rPr>
          <w:sz w:val="24"/>
          <w:szCs w:val="24"/>
        </w:rPr>
        <w:t xml:space="preserve">Watz, C.G.; Mihali, C.-V.; Oprean, C.; Krauss Maldea, L.; Tatu, C.A.; Nicolov, M.; Sîrbu, I.-O.; Dehelean, C.A.; Socoliuc, V.; Moacă, E.-A. Fe3O4@β-cyclodextrin Nanosystem: A Promising Adjuvant Approach in Cancer Treatment. Nanomaterials 2025, 15, 1192. </w:t>
      </w:r>
      <w:r w:rsidR="00C8413A" w:rsidRPr="00C8413A">
        <w:rPr>
          <w:sz w:val="24"/>
          <w:szCs w:val="24"/>
        </w:rPr>
        <w:t>https://doi.org/10.3390/nano15151192</w:t>
      </w:r>
      <w:r w:rsidR="00785A98" w:rsidRPr="00785A98">
        <w:rPr>
          <w:sz w:val="24"/>
          <w:szCs w:val="24"/>
        </w:rPr>
        <w:tab/>
      </w:r>
    </w:p>
    <w:p w14:paraId="16B2882F" w14:textId="77777777" w:rsidR="00C8413A" w:rsidRDefault="00C8413A" w:rsidP="00E2782F">
      <w:pPr>
        <w:spacing w:after="0"/>
        <w:ind w:left="1134" w:hanging="425"/>
        <w:jc w:val="both"/>
        <w:rPr>
          <w:sz w:val="24"/>
          <w:szCs w:val="24"/>
        </w:rPr>
      </w:pPr>
    </w:p>
    <w:p w14:paraId="44DC267C" w14:textId="7AC04E99" w:rsidR="00785A98" w:rsidRPr="00785A98" w:rsidRDefault="00C8413A" w:rsidP="00E2782F">
      <w:pPr>
        <w:spacing w:after="0"/>
        <w:ind w:left="1134" w:hanging="425"/>
        <w:jc w:val="both"/>
        <w:rPr>
          <w:sz w:val="24"/>
          <w:szCs w:val="24"/>
        </w:rPr>
      </w:pPr>
      <w:r w:rsidRPr="00C8413A">
        <w:rPr>
          <w:b/>
          <w:bCs/>
          <w:sz w:val="24"/>
          <w:szCs w:val="24"/>
        </w:rPr>
        <w:t>38.</w:t>
      </w:r>
      <w:r>
        <w:rPr>
          <w:sz w:val="24"/>
          <w:szCs w:val="24"/>
        </w:rPr>
        <w:t xml:space="preserve"> </w:t>
      </w:r>
      <w:r w:rsidR="00785A98" w:rsidRPr="00785A98">
        <w:rPr>
          <w:sz w:val="24"/>
          <w:szCs w:val="24"/>
        </w:rPr>
        <w:t>Monica Dragomirescu, Teodor Vintila, Titus Vlase, Ciprian-Valentin Mihali and Gabriela Preda, Microbial cellulases immobilized in biopolymer/silica matrices used as enzyme release systems,</w:t>
      </w:r>
      <w:r w:rsidR="00785A98" w:rsidRPr="00785A98">
        <w:rPr>
          <w:sz w:val="24"/>
          <w:szCs w:val="24"/>
        </w:rPr>
        <w:tab/>
        <w:t>Acta Biochim Pol., 2021 Sep 30, 68(4), p.775-783, ISSN  0001-527X</w:t>
      </w:r>
      <w:r w:rsidR="00785A98" w:rsidRPr="00785A98">
        <w:rPr>
          <w:sz w:val="24"/>
          <w:szCs w:val="24"/>
        </w:rPr>
        <w:tab/>
      </w:r>
    </w:p>
    <w:p w14:paraId="6EA2E88D" w14:textId="77777777" w:rsidR="00C8413A" w:rsidRDefault="00785A98" w:rsidP="00E2782F">
      <w:pPr>
        <w:spacing w:after="0"/>
        <w:ind w:left="1134" w:hanging="425"/>
        <w:jc w:val="both"/>
        <w:rPr>
          <w:sz w:val="24"/>
          <w:szCs w:val="24"/>
        </w:rPr>
      </w:pPr>
      <w:r w:rsidRPr="00785A98">
        <w:rPr>
          <w:sz w:val="24"/>
          <w:szCs w:val="24"/>
        </w:rPr>
        <w:tab/>
      </w:r>
    </w:p>
    <w:p w14:paraId="4CBD34A5" w14:textId="65275B9E" w:rsidR="00785A98" w:rsidRDefault="00C8413A" w:rsidP="00E2782F">
      <w:pPr>
        <w:spacing w:after="0"/>
        <w:ind w:left="1134" w:hanging="425"/>
        <w:jc w:val="both"/>
        <w:rPr>
          <w:sz w:val="24"/>
          <w:szCs w:val="24"/>
        </w:rPr>
      </w:pPr>
      <w:r w:rsidRPr="00C8413A">
        <w:rPr>
          <w:b/>
          <w:bCs/>
          <w:sz w:val="24"/>
          <w:szCs w:val="24"/>
        </w:rPr>
        <w:t>39.</w:t>
      </w:r>
      <w:r w:rsidRPr="00C8413A">
        <w:rPr>
          <w:sz w:val="24"/>
          <w:szCs w:val="24"/>
        </w:rPr>
        <w:t xml:space="preserve"> </w:t>
      </w:r>
      <w:r>
        <w:rPr>
          <w:sz w:val="24"/>
          <w:szCs w:val="24"/>
        </w:rPr>
        <w:t xml:space="preserve"> </w:t>
      </w:r>
      <w:r w:rsidR="00785A98" w:rsidRPr="00785A98">
        <w:rPr>
          <w:sz w:val="24"/>
          <w:szCs w:val="24"/>
        </w:rPr>
        <w:t xml:space="preserve">R.I. NeamtI, *; L.T. CziszterI, II; G. SaplacanI; C.V. MihaliI; A.E. MizeranschiI, III; S.I. SaplacanIV; A.S. AntonI; D.E. IlieI, Effect of non-genetic factors on milk yield in a Romanian Spotted dual purpose breed, S. Afr. j. anim. sci. vol.54 n.2 Pretoria  2024, https://doi.org/10.4314/sajas.v54i2.05  </w:t>
      </w:r>
      <w:r w:rsidR="00785A98" w:rsidRPr="00785A98">
        <w:rPr>
          <w:sz w:val="24"/>
          <w:szCs w:val="24"/>
        </w:rPr>
        <w:tab/>
      </w:r>
    </w:p>
    <w:p w14:paraId="78500BF6" w14:textId="77777777" w:rsidR="00C8413A" w:rsidRPr="00785A98" w:rsidRDefault="00C8413A" w:rsidP="00E2782F">
      <w:pPr>
        <w:spacing w:after="0"/>
        <w:ind w:left="1134" w:hanging="425"/>
        <w:jc w:val="both"/>
        <w:rPr>
          <w:sz w:val="24"/>
          <w:szCs w:val="24"/>
        </w:rPr>
      </w:pPr>
    </w:p>
    <w:p w14:paraId="1199705E" w14:textId="19AA2B23" w:rsidR="00785A98" w:rsidRPr="00785A98" w:rsidRDefault="00C8413A" w:rsidP="00E2782F">
      <w:pPr>
        <w:spacing w:after="0"/>
        <w:ind w:left="1134" w:hanging="425"/>
        <w:jc w:val="both"/>
        <w:rPr>
          <w:sz w:val="24"/>
          <w:szCs w:val="24"/>
        </w:rPr>
      </w:pPr>
      <w:r>
        <w:rPr>
          <w:b/>
          <w:bCs/>
          <w:sz w:val="24"/>
          <w:szCs w:val="24"/>
        </w:rPr>
        <w:t>40</w:t>
      </w:r>
      <w:r w:rsidRPr="00C8413A">
        <w:rPr>
          <w:b/>
          <w:bCs/>
          <w:sz w:val="24"/>
          <w:szCs w:val="24"/>
        </w:rPr>
        <w:t>.</w:t>
      </w:r>
      <w:r>
        <w:rPr>
          <w:sz w:val="24"/>
          <w:szCs w:val="24"/>
        </w:rPr>
        <w:t xml:space="preserve"> </w:t>
      </w:r>
      <w:r w:rsidR="00785A98" w:rsidRPr="00785A98">
        <w:rPr>
          <w:sz w:val="24"/>
          <w:szCs w:val="24"/>
        </w:rPr>
        <w:t>Dana Zdremţan1*, Larisa Calu2, Ciprian Valentin Mihali3, Iris Maria Tuşa2, Florian Dumitrache4,3, Coralia Adina Cotoraci1, Daniela Bratosin2, Characterization of human erythrocytes as carriers for iron nanoparticies, Rom Biotechnol Lett. 2020; 25(2): 1378-1386, doi: 10.25083/ rbl/25.2/1378.1386</w:t>
      </w:r>
      <w:r w:rsidR="00785A98" w:rsidRPr="00785A98">
        <w:rPr>
          <w:sz w:val="24"/>
          <w:szCs w:val="24"/>
        </w:rPr>
        <w:tab/>
        <w:t>0,097</w:t>
      </w:r>
      <w:r w:rsidR="00785A98" w:rsidRPr="00785A98">
        <w:rPr>
          <w:sz w:val="24"/>
          <w:szCs w:val="24"/>
        </w:rPr>
        <w:tab/>
        <w:t>0</w:t>
      </w:r>
      <w:r w:rsidR="00785A98" w:rsidRPr="00785A98">
        <w:rPr>
          <w:sz w:val="24"/>
          <w:szCs w:val="24"/>
        </w:rPr>
        <w:tab/>
        <w:t>3,275</w:t>
      </w:r>
    </w:p>
    <w:p w14:paraId="7C01A6E1" w14:textId="77777777" w:rsidR="00C8413A" w:rsidRDefault="00785A98" w:rsidP="00E2782F">
      <w:pPr>
        <w:spacing w:after="0"/>
        <w:ind w:left="1134" w:hanging="425"/>
        <w:jc w:val="both"/>
        <w:rPr>
          <w:sz w:val="24"/>
          <w:szCs w:val="24"/>
        </w:rPr>
      </w:pPr>
      <w:r w:rsidRPr="00785A98">
        <w:rPr>
          <w:sz w:val="24"/>
          <w:szCs w:val="24"/>
        </w:rPr>
        <w:tab/>
      </w:r>
    </w:p>
    <w:p w14:paraId="5E376EAE" w14:textId="4A592260" w:rsidR="00785A98" w:rsidRDefault="000D1772" w:rsidP="00E2782F">
      <w:pPr>
        <w:spacing w:after="0"/>
        <w:ind w:left="1134" w:hanging="425"/>
        <w:jc w:val="both"/>
        <w:rPr>
          <w:b/>
          <w:bCs/>
          <w:sz w:val="24"/>
          <w:szCs w:val="24"/>
        </w:rPr>
      </w:pPr>
      <w:r w:rsidRPr="000D1772">
        <w:rPr>
          <w:b/>
          <w:bCs/>
          <w:sz w:val="24"/>
          <w:szCs w:val="24"/>
        </w:rPr>
        <w:t>Articole publicate în reviste indexate BDI, ca ca și contributor</w:t>
      </w:r>
      <w:r w:rsidR="00785A98" w:rsidRPr="000D1772">
        <w:rPr>
          <w:b/>
          <w:bCs/>
          <w:sz w:val="24"/>
          <w:szCs w:val="24"/>
        </w:rPr>
        <w:tab/>
      </w:r>
    </w:p>
    <w:p w14:paraId="0DED7AEB" w14:textId="77777777" w:rsidR="000D1772" w:rsidRDefault="000D1772" w:rsidP="00E2782F">
      <w:pPr>
        <w:spacing w:after="0"/>
        <w:ind w:left="1134" w:hanging="425"/>
        <w:jc w:val="both"/>
        <w:rPr>
          <w:b/>
          <w:bCs/>
          <w:sz w:val="24"/>
          <w:szCs w:val="24"/>
        </w:rPr>
      </w:pPr>
    </w:p>
    <w:p w14:paraId="273087C8" w14:textId="63FCB728" w:rsidR="000D1772" w:rsidRPr="000D1772" w:rsidRDefault="000D1772" w:rsidP="000D1772">
      <w:pPr>
        <w:pStyle w:val="ListParagraph"/>
        <w:numPr>
          <w:ilvl w:val="0"/>
          <w:numId w:val="2"/>
        </w:numPr>
        <w:spacing w:after="0"/>
        <w:jc w:val="both"/>
        <w:rPr>
          <w:sz w:val="24"/>
          <w:szCs w:val="24"/>
        </w:rPr>
      </w:pPr>
      <w:r w:rsidRPr="000D1772">
        <w:rPr>
          <w:sz w:val="24"/>
          <w:szCs w:val="24"/>
        </w:rPr>
        <w:t>Daniela Elena Ilie , A.E. Mizeranschi , 1) 1) 2) C.V. Mihali , R.I. Neamț , M. Carabaș , 3),*), a.c. Grădinaru, the effect of genetic variations of pituitary transcription factor 1 (pit1) on milk performance traits in romanian cattle, ev Rom Med Vet (2021) 31 | 1: 87-92, SSN: 1220-3173; E-ISSN: 2457-7618</w:t>
      </w:r>
    </w:p>
    <w:p w14:paraId="118CDE69" w14:textId="6E5594A1" w:rsidR="000D1772" w:rsidRDefault="000D1772" w:rsidP="000D1772">
      <w:pPr>
        <w:pStyle w:val="ListParagraph"/>
        <w:numPr>
          <w:ilvl w:val="0"/>
          <w:numId w:val="2"/>
        </w:numPr>
        <w:spacing w:after="0"/>
        <w:jc w:val="both"/>
        <w:rPr>
          <w:sz w:val="24"/>
          <w:szCs w:val="24"/>
        </w:rPr>
      </w:pPr>
      <w:r w:rsidRPr="000D1772">
        <w:rPr>
          <w:sz w:val="24"/>
          <w:szCs w:val="24"/>
        </w:rPr>
        <w:t>Olariu-Jurca, A; Lazău, A; Tudoran, C; Moțiu, G; Mihali, C; Avram, E; Turcitu, M; Olariu-Jurca, I., Morphological alterations in enteric form of avian infectious bronchitis</w:t>
      </w:r>
      <w:r w:rsidRPr="000D1772">
        <w:rPr>
          <w:sz w:val="24"/>
          <w:szCs w:val="24"/>
        </w:rPr>
        <w:tab/>
        <w:t>Revista Română de Medicină Veterinară, 2012, 22, 4, p.93-104, cabidigitallibrary</w:t>
      </w:r>
    </w:p>
    <w:p w14:paraId="4CCBC49A" w14:textId="77777777" w:rsidR="00C53A0C" w:rsidRDefault="00C53A0C" w:rsidP="00C53A0C">
      <w:pPr>
        <w:spacing w:after="0"/>
        <w:jc w:val="both"/>
        <w:rPr>
          <w:sz w:val="24"/>
          <w:szCs w:val="24"/>
        </w:rPr>
      </w:pPr>
    </w:p>
    <w:p w14:paraId="399AEDDC" w14:textId="13BDACE2" w:rsidR="00C53A0C" w:rsidRDefault="00C53A0C" w:rsidP="00C53A0C">
      <w:pPr>
        <w:spacing w:after="0"/>
        <w:ind w:left="1069"/>
        <w:jc w:val="both"/>
        <w:rPr>
          <w:sz w:val="24"/>
          <w:szCs w:val="24"/>
        </w:rPr>
      </w:pPr>
      <w:r>
        <w:rPr>
          <w:sz w:val="24"/>
          <w:szCs w:val="24"/>
        </w:rPr>
        <w:t>Arad, 18.12.2025                                                                   Dr biol. Mihali Ciprian Valentin</w:t>
      </w:r>
    </w:p>
    <w:p w14:paraId="7EDC3497" w14:textId="2C83FA6C" w:rsidR="000665A3" w:rsidRPr="00C53A0C" w:rsidRDefault="000665A3" w:rsidP="000665A3">
      <w:pPr>
        <w:spacing w:after="0"/>
        <w:ind w:left="1069"/>
        <w:jc w:val="right"/>
        <w:rPr>
          <w:sz w:val="24"/>
          <w:szCs w:val="24"/>
        </w:rPr>
      </w:pPr>
      <w:r>
        <w:rPr>
          <w:sz w:val="24"/>
          <w:szCs w:val="24"/>
        </w:rPr>
        <w:t xml:space="preserve">                                                                                                     </w:t>
      </w:r>
      <w:r>
        <w:rPr>
          <w:noProof/>
          <w:sz w:val="24"/>
          <w:szCs w:val="24"/>
        </w:rPr>
        <w:drawing>
          <wp:inline distT="0" distB="0" distL="0" distR="0" wp14:anchorId="681FF3E2" wp14:editId="617954B7">
            <wp:extent cx="1626577" cy="572135"/>
            <wp:effectExtent l="0" t="0" r="0" b="0"/>
            <wp:docPr id="1276021622"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21622" name="Picture 1" descr="A close-up of a signature&#10;&#10;AI-generated content may be incorrect."/>
                    <pic:cNvPicPr/>
                  </pic:nvPicPr>
                  <pic:blipFill>
                    <a:blip r:embed="rId5" cstate="print">
                      <a:extLst>
                        <a:ext uri="{BEBA8EAE-BF5A-486C-A8C5-ECC9F3942E4B}">
                          <a14:imgProps xmlns:a14="http://schemas.microsoft.com/office/drawing/2010/main">
                            <a14:imgLayer r:embed="rId6">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41937" cy="577538"/>
                    </a:xfrm>
                    <a:prstGeom prst="rect">
                      <a:avLst/>
                    </a:prstGeom>
                  </pic:spPr>
                </pic:pic>
              </a:graphicData>
            </a:graphic>
          </wp:inline>
        </w:drawing>
      </w:r>
    </w:p>
    <w:sectPr w:rsidR="000665A3" w:rsidRPr="00C53A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26ED"/>
    <w:multiLevelType w:val="hybridMultilevel"/>
    <w:tmpl w:val="1D2EF01E"/>
    <w:lvl w:ilvl="0" w:tplc="6E4E471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15:restartNumberingAfterBreak="0">
    <w:nsid w:val="6673114A"/>
    <w:multiLevelType w:val="hybridMultilevel"/>
    <w:tmpl w:val="53B49E7C"/>
    <w:lvl w:ilvl="0" w:tplc="2E90C55E">
      <w:start w:val="1"/>
      <w:numFmt w:val="decimal"/>
      <w:lvlText w:val="%1."/>
      <w:lvlJc w:val="left"/>
      <w:pPr>
        <w:ind w:left="1070" w:hanging="360"/>
      </w:pPr>
      <w:rPr>
        <w:rFonts w:hint="default"/>
        <w:b/>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num w:numId="1" w16cid:durableId="1711492424">
    <w:abstractNumId w:val="1"/>
  </w:num>
  <w:num w:numId="2" w16cid:durableId="1379359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C1"/>
    <w:rsid w:val="00006FF2"/>
    <w:rsid w:val="000665A3"/>
    <w:rsid w:val="00074634"/>
    <w:rsid w:val="000C1C4C"/>
    <w:rsid w:val="000D1772"/>
    <w:rsid w:val="000D58ED"/>
    <w:rsid w:val="0019217C"/>
    <w:rsid w:val="001C63F3"/>
    <w:rsid w:val="00274B0E"/>
    <w:rsid w:val="003511F2"/>
    <w:rsid w:val="003A4962"/>
    <w:rsid w:val="00614B5F"/>
    <w:rsid w:val="006845BE"/>
    <w:rsid w:val="006D29E0"/>
    <w:rsid w:val="00785A98"/>
    <w:rsid w:val="007C14C1"/>
    <w:rsid w:val="009F3B9A"/>
    <w:rsid w:val="00BA015E"/>
    <w:rsid w:val="00C53A0C"/>
    <w:rsid w:val="00C8413A"/>
    <w:rsid w:val="00C977F8"/>
    <w:rsid w:val="00CD261E"/>
    <w:rsid w:val="00E14900"/>
    <w:rsid w:val="00E2782F"/>
    <w:rsid w:val="00E33CB9"/>
    <w:rsid w:val="00EC40BC"/>
    <w:rsid w:val="00F2569D"/>
    <w:rsid w:val="00F95F96"/>
    <w:rsid w:val="00FD292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C45E5"/>
  <w15:chartTrackingRefBased/>
  <w15:docId w15:val="{6AD87D15-B342-40DF-A8B5-FFA601AA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4C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C14C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C14C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C14C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C14C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C14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4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4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4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4C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C14C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C14C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C14C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C14C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C14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4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4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4C1"/>
    <w:rPr>
      <w:rFonts w:eastAsiaTheme="majorEastAsia" w:cstheme="majorBidi"/>
      <w:color w:val="272727" w:themeColor="text1" w:themeTint="D8"/>
    </w:rPr>
  </w:style>
  <w:style w:type="paragraph" w:styleId="Title">
    <w:name w:val="Title"/>
    <w:basedOn w:val="Normal"/>
    <w:next w:val="Normal"/>
    <w:link w:val="TitleChar"/>
    <w:uiPriority w:val="10"/>
    <w:qFormat/>
    <w:rsid w:val="007C1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4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4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4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4C1"/>
    <w:pPr>
      <w:spacing w:before="160"/>
      <w:jc w:val="center"/>
    </w:pPr>
    <w:rPr>
      <w:i/>
      <w:iCs/>
      <w:color w:val="404040" w:themeColor="text1" w:themeTint="BF"/>
    </w:rPr>
  </w:style>
  <w:style w:type="character" w:customStyle="1" w:styleId="QuoteChar">
    <w:name w:val="Quote Char"/>
    <w:basedOn w:val="DefaultParagraphFont"/>
    <w:link w:val="Quote"/>
    <w:uiPriority w:val="29"/>
    <w:rsid w:val="007C14C1"/>
    <w:rPr>
      <w:i/>
      <w:iCs/>
      <w:color w:val="404040" w:themeColor="text1" w:themeTint="BF"/>
    </w:rPr>
  </w:style>
  <w:style w:type="paragraph" w:styleId="ListParagraph">
    <w:name w:val="List Paragraph"/>
    <w:basedOn w:val="Normal"/>
    <w:uiPriority w:val="34"/>
    <w:qFormat/>
    <w:rsid w:val="007C14C1"/>
    <w:pPr>
      <w:ind w:left="720"/>
      <w:contextualSpacing/>
    </w:pPr>
  </w:style>
  <w:style w:type="character" w:styleId="IntenseEmphasis">
    <w:name w:val="Intense Emphasis"/>
    <w:basedOn w:val="DefaultParagraphFont"/>
    <w:uiPriority w:val="21"/>
    <w:qFormat/>
    <w:rsid w:val="007C14C1"/>
    <w:rPr>
      <w:i/>
      <w:iCs/>
      <w:color w:val="2E74B5" w:themeColor="accent1" w:themeShade="BF"/>
    </w:rPr>
  </w:style>
  <w:style w:type="paragraph" w:styleId="IntenseQuote">
    <w:name w:val="Intense Quote"/>
    <w:basedOn w:val="Normal"/>
    <w:next w:val="Normal"/>
    <w:link w:val="IntenseQuoteChar"/>
    <w:uiPriority w:val="30"/>
    <w:qFormat/>
    <w:rsid w:val="007C14C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C14C1"/>
    <w:rPr>
      <w:i/>
      <w:iCs/>
      <w:color w:val="2E74B5" w:themeColor="accent1" w:themeShade="BF"/>
    </w:rPr>
  </w:style>
  <w:style w:type="character" w:styleId="IntenseReference">
    <w:name w:val="Intense Reference"/>
    <w:basedOn w:val="DefaultParagraphFont"/>
    <w:uiPriority w:val="32"/>
    <w:qFormat/>
    <w:rsid w:val="007C14C1"/>
    <w:rPr>
      <w:b/>
      <w:bCs/>
      <w:smallCaps/>
      <w:color w:val="2E74B5" w:themeColor="accent1" w:themeShade="BF"/>
      <w:spacing w:val="5"/>
    </w:rPr>
  </w:style>
  <w:style w:type="character" w:styleId="Hyperlink">
    <w:name w:val="Hyperlink"/>
    <w:basedOn w:val="DefaultParagraphFont"/>
    <w:uiPriority w:val="99"/>
    <w:unhideWhenUsed/>
    <w:rsid w:val="00C8413A"/>
    <w:rPr>
      <w:color w:val="0563C1" w:themeColor="hyperlink"/>
      <w:u w:val="single"/>
    </w:rPr>
  </w:style>
  <w:style w:type="character" w:styleId="UnresolvedMention">
    <w:name w:val="Unresolved Mention"/>
    <w:basedOn w:val="DefaultParagraphFont"/>
    <w:uiPriority w:val="99"/>
    <w:semiHidden/>
    <w:unhideWhenUsed/>
    <w:rsid w:val="00C84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1854</Words>
  <Characters>12053</Characters>
  <Application>Microsoft Office Word</Application>
  <DocSecurity>0</DocSecurity>
  <Lines>252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 003506</dc:creator>
  <cp:keywords/>
  <dc:description/>
  <cp:lastModifiedBy>Professional 003506</cp:lastModifiedBy>
  <cp:revision>5</cp:revision>
  <dcterms:created xsi:type="dcterms:W3CDTF">2025-12-18T11:10:00Z</dcterms:created>
  <dcterms:modified xsi:type="dcterms:W3CDTF">2025-12-19T10:46:00Z</dcterms:modified>
</cp:coreProperties>
</file>