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B776" w14:textId="77777777" w:rsidR="0091545F" w:rsidRPr="00DB25BA" w:rsidRDefault="0091545F" w:rsidP="00DB25BA">
      <w:pPr>
        <w:spacing w:line="276" w:lineRule="auto"/>
        <w:jc w:val="both"/>
        <w:rPr>
          <w:rFonts w:eastAsiaTheme="minorHAnsi"/>
        </w:rPr>
      </w:pPr>
    </w:p>
    <w:p w14:paraId="08221565" w14:textId="16BE5BE6" w:rsidR="0091545F" w:rsidRDefault="0091545F" w:rsidP="00DB25BA">
      <w:pPr>
        <w:spacing w:line="276" w:lineRule="auto"/>
        <w:jc w:val="center"/>
        <w:rPr>
          <w:rFonts w:eastAsiaTheme="minorHAnsi"/>
          <w:b/>
        </w:rPr>
      </w:pPr>
      <w:r w:rsidRPr="00DB25BA">
        <w:rPr>
          <w:rFonts w:eastAsiaTheme="minorHAnsi"/>
          <w:b/>
        </w:rPr>
        <w:t>Listă publicații</w:t>
      </w:r>
    </w:p>
    <w:p w14:paraId="426C28D0" w14:textId="77777777" w:rsidR="00DB25BA" w:rsidRPr="00DB25BA" w:rsidRDefault="00DB25BA" w:rsidP="00DB25BA">
      <w:pPr>
        <w:spacing w:line="276" w:lineRule="auto"/>
        <w:jc w:val="center"/>
        <w:rPr>
          <w:rFonts w:eastAsiaTheme="minorHAnsi"/>
          <w:b/>
        </w:rPr>
      </w:pPr>
    </w:p>
    <w:p w14:paraId="1E9B69FB" w14:textId="77777777" w:rsidR="0091545F" w:rsidRPr="00DB25BA" w:rsidRDefault="0091545F" w:rsidP="00DB25BA">
      <w:pPr>
        <w:spacing w:line="276" w:lineRule="auto"/>
        <w:jc w:val="both"/>
        <w:rPr>
          <w:rFonts w:eastAsiaTheme="minorHAnsi"/>
          <w:b/>
        </w:rPr>
      </w:pPr>
    </w:p>
    <w:p w14:paraId="4B3D950E" w14:textId="77777777" w:rsidR="0091545F" w:rsidRPr="00DB25BA" w:rsidRDefault="0091545F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/>
        </w:rPr>
      </w:pPr>
      <w:r w:rsidRPr="00DB25BA">
        <w:rPr>
          <w:b/>
          <w:bCs/>
          <w:color w:val="212121"/>
          <w:shd w:val="clear" w:color="auto" w:fill="FFFFFF"/>
        </w:rPr>
        <w:t>Turcu AM,</w:t>
      </w:r>
      <w:r w:rsidRPr="00DB25BA">
        <w:rPr>
          <w:color w:val="212121"/>
          <w:shd w:val="clear" w:color="auto" w:fill="FFFFFF"/>
        </w:rPr>
        <w:t xml:space="preserve"> Ilie AC, Ștefăniu R, Țăranu SM, Sandu IA, Alexa-Stratulat T, Pîslaru AI, Alexa ID. The Impact of Heart Rate Variability Monitoring on Preventing Severe Cardiovascular Events. Diagnostics (Basel). 2023 Jul 15;13(14):2382. doi: 10.3390/diagnostics13142382. PMID: 37510126; PMCID: PMC10378206.</w:t>
      </w:r>
    </w:p>
    <w:p w14:paraId="148C0FE2" w14:textId="77777777" w:rsidR="0091545F" w:rsidRPr="00DB25BA" w:rsidRDefault="0091545F" w:rsidP="00DB25BA">
      <w:pPr>
        <w:pStyle w:val="ListParagraph"/>
        <w:jc w:val="both"/>
        <w:rPr>
          <w:rStyle w:val="Hyperlink"/>
          <w:rFonts w:eastAsiaTheme="minorHAnsi"/>
          <w:b/>
          <w:color w:val="auto"/>
          <w:u w:val="none"/>
        </w:rPr>
      </w:pPr>
      <w:hyperlink r:id="rId5" w:history="1">
        <w:r w:rsidRPr="00DB25BA">
          <w:rPr>
            <w:rStyle w:val="Hyperlink"/>
            <w:rFonts w:eastAsiaTheme="minorHAnsi"/>
            <w:b/>
            <w:color w:val="2E74B5" w:themeColor="accent1" w:themeShade="BF"/>
          </w:rPr>
          <w:t>https://pubmed.ncbi.nlm.nih.gov/37510126/</w:t>
        </w:r>
      </w:hyperlink>
    </w:p>
    <w:p w14:paraId="1E7ED4DD" w14:textId="5BA6A9BF" w:rsidR="00B75B2A" w:rsidRPr="00DB25BA" w:rsidRDefault="0091545F" w:rsidP="00DB25BA">
      <w:pPr>
        <w:pStyle w:val="ListParagraph"/>
        <w:jc w:val="both"/>
        <w:rPr>
          <w:rStyle w:val="Hyperlink"/>
          <w:rFonts w:eastAsiaTheme="minorHAnsi"/>
          <w:b/>
          <w:color w:val="auto"/>
          <w:u w:val="none"/>
        </w:rPr>
      </w:pPr>
      <w:r w:rsidRPr="00DB25BA">
        <w:rPr>
          <w:rStyle w:val="Hyperlink"/>
          <w:rFonts w:eastAsiaTheme="minorHAnsi"/>
          <w:b/>
          <w:color w:val="auto"/>
          <w:u w:val="none"/>
        </w:rPr>
        <w:t>I</w:t>
      </w:r>
      <w:r w:rsidR="00DB25BA" w:rsidRPr="00DB25BA">
        <w:rPr>
          <w:rStyle w:val="Hyperlink"/>
          <w:rFonts w:eastAsiaTheme="minorHAnsi"/>
          <w:b/>
          <w:color w:val="auto"/>
          <w:u w:val="none"/>
        </w:rPr>
        <w:t>F</w:t>
      </w:r>
      <w:r w:rsidRPr="00DB25BA">
        <w:rPr>
          <w:rStyle w:val="Hyperlink"/>
          <w:rFonts w:eastAsiaTheme="minorHAnsi"/>
          <w:b/>
          <w:color w:val="auto"/>
          <w:u w:val="none"/>
        </w:rPr>
        <w:t xml:space="preserve"> – 3,</w:t>
      </w:r>
      <w:r w:rsidR="00DB25BA" w:rsidRPr="00DB25BA">
        <w:rPr>
          <w:rStyle w:val="Hyperlink"/>
          <w:rFonts w:eastAsiaTheme="minorHAnsi"/>
          <w:b/>
          <w:color w:val="auto"/>
          <w:u w:val="none"/>
        </w:rPr>
        <w:t>6</w:t>
      </w:r>
    </w:p>
    <w:p w14:paraId="02B8DC49" w14:textId="77777777" w:rsidR="00B75B2A" w:rsidRPr="00DB25BA" w:rsidRDefault="00B75B2A" w:rsidP="00DB25BA">
      <w:pPr>
        <w:pStyle w:val="ListParagraph"/>
        <w:jc w:val="both"/>
        <w:rPr>
          <w:rFonts w:eastAsiaTheme="minorHAnsi"/>
          <w:b/>
        </w:rPr>
      </w:pPr>
    </w:p>
    <w:p w14:paraId="08E78044" w14:textId="77777777" w:rsidR="0091545F" w:rsidRPr="00DB25BA" w:rsidRDefault="0091545F" w:rsidP="00DB25BA">
      <w:pPr>
        <w:pStyle w:val="ListParagraph"/>
        <w:numPr>
          <w:ilvl w:val="0"/>
          <w:numId w:val="1"/>
        </w:numPr>
        <w:jc w:val="both"/>
        <w:rPr>
          <w:rStyle w:val="Hyperlink"/>
          <w:rFonts w:eastAsiaTheme="minorHAnsi"/>
          <w:b/>
          <w:color w:val="auto"/>
          <w:u w:val="none"/>
        </w:rPr>
      </w:pPr>
      <w:r w:rsidRPr="00DB25BA">
        <w:rPr>
          <w:b/>
          <w:bCs/>
          <w:color w:val="222222"/>
          <w:shd w:val="clear" w:color="auto" w:fill="FFFFFF"/>
        </w:rPr>
        <w:t>Turcu, A.-M.;</w:t>
      </w:r>
      <w:r w:rsidRPr="00DB25BA">
        <w:rPr>
          <w:color w:val="222222"/>
          <w:shd w:val="clear" w:color="auto" w:fill="FFFFFF"/>
        </w:rPr>
        <w:t xml:space="preserve"> Ilie, A.C.; Albișteanu, S.-M.; Grigoraș, G.; Lungu, I.-D.; Ștefăniu, R.; Pîslaru, A.I.; Alexa, I.D. Heart Rate Variability: Marker of the Impact of Cardiovascular Disease on Intrinsic Capacity in Older Adults. J. Clin. Med. </w:t>
      </w:r>
      <w:r w:rsidRPr="00DB25BA">
        <w:rPr>
          <w:bCs/>
          <w:color w:val="222222"/>
          <w:shd w:val="clear" w:color="auto" w:fill="FFFFFF"/>
        </w:rPr>
        <w:t>2025</w:t>
      </w:r>
      <w:r w:rsidRPr="00DB25BA">
        <w:rPr>
          <w:color w:val="222222"/>
          <w:shd w:val="clear" w:color="auto" w:fill="FFFFFF"/>
        </w:rPr>
        <w:t xml:space="preserve">, 14, 2981. </w:t>
      </w:r>
      <w:hyperlink r:id="rId6" w:history="1">
        <w:r w:rsidRPr="00DB25BA">
          <w:rPr>
            <w:rStyle w:val="Hyperlink"/>
            <w:b/>
            <w:color w:val="2E74B5" w:themeColor="accent1" w:themeShade="BF"/>
            <w:shd w:val="clear" w:color="auto" w:fill="FFFFFF"/>
          </w:rPr>
          <w:t>https://doi.org/10.3390/jcm14092981</w:t>
        </w:r>
      </w:hyperlink>
    </w:p>
    <w:p w14:paraId="3D72190B" w14:textId="3AA4D2C2" w:rsidR="00B75B2A" w:rsidRPr="00DB25BA" w:rsidRDefault="0091545F" w:rsidP="00DB25BA">
      <w:pPr>
        <w:pStyle w:val="ListParagraph"/>
        <w:jc w:val="both"/>
        <w:rPr>
          <w:rFonts w:eastAsiaTheme="minorHAnsi"/>
          <w:b/>
        </w:rPr>
      </w:pPr>
      <w:r w:rsidRPr="00DB25BA">
        <w:rPr>
          <w:b/>
          <w:color w:val="222222"/>
          <w:shd w:val="clear" w:color="auto" w:fill="FFFFFF"/>
        </w:rPr>
        <w:t>I</w:t>
      </w:r>
      <w:r w:rsidR="00DB25BA" w:rsidRPr="00DB25BA">
        <w:rPr>
          <w:b/>
          <w:color w:val="222222"/>
          <w:shd w:val="clear" w:color="auto" w:fill="FFFFFF"/>
        </w:rPr>
        <w:t>F</w:t>
      </w:r>
      <w:r w:rsidRPr="00DB25BA">
        <w:rPr>
          <w:b/>
          <w:color w:val="222222"/>
          <w:shd w:val="clear" w:color="auto" w:fill="FFFFFF"/>
        </w:rPr>
        <w:t xml:space="preserve"> –</w:t>
      </w:r>
      <w:r w:rsidRPr="00DB25BA">
        <w:rPr>
          <w:rFonts w:eastAsiaTheme="minorHAnsi"/>
          <w:b/>
        </w:rPr>
        <w:t xml:space="preserve"> 2,9</w:t>
      </w:r>
    </w:p>
    <w:p w14:paraId="5D379552" w14:textId="77777777" w:rsidR="00B75B2A" w:rsidRPr="00DB25BA" w:rsidRDefault="00B75B2A" w:rsidP="00DB25BA">
      <w:pPr>
        <w:pStyle w:val="ListParagraph"/>
        <w:jc w:val="both"/>
        <w:rPr>
          <w:rFonts w:eastAsiaTheme="minorHAnsi"/>
          <w:b/>
        </w:rPr>
      </w:pPr>
    </w:p>
    <w:p w14:paraId="38685689" w14:textId="77777777" w:rsidR="0091545F" w:rsidRPr="00DB25BA" w:rsidRDefault="0091545F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/>
        </w:rPr>
      </w:pPr>
      <w:r w:rsidRPr="00DB25BA">
        <w:rPr>
          <w:b/>
          <w:bCs/>
          <w:color w:val="222222"/>
          <w:shd w:val="clear" w:color="auto" w:fill="FFFFFF"/>
        </w:rPr>
        <w:t>Turcu A-M,</w:t>
      </w:r>
      <w:r w:rsidRPr="00DB25BA">
        <w:rPr>
          <w:color w:val="222222"/>
          <w:shd w:val="clear" w:color="auto" w:fill="FFFFFF"/>
        </w:rPr>
        <w:t xml:space="preserve"> Ilie A-C, Albișteanu S-M, Grigoraș G, Lungu I-D, Ștefăniu R, Pîslaru A-I, Alexa IA. DETERMINATION OF HEART RATE VARIABILITY, A POSSIBLE MARKER FOR ASSESSING INTRINSIC CAPACITY. The Medical-Surgical Journal. Vol. 129. No 4 (2025). Internal Medicine-Pediatrics.</w:t>
      </w:r>
    </w:p>
    <w:p w14:paraId="15CCA741" w14:textId="77777777" w:rsidR="0091545F" w:rsidRPr="00DB25BA" w:rsidRDefault="0091545F" w:rsidP="00DB25BA">
      <w:pPr>
        <w:pStyle w:val="ListParagraph"/>
        <w:jc w:val="both"/>
        <w:rPr>
          <w:rFonts w:eastAsiaTheme="minorHAnsi"/>
          <w:b/>
        </w:rPr>
      </w:pPr>
      <w:hyperlink r:id="rId7" w:history="1">
        <w:r w:rsidRPr="00DB25BA">
          <w:rPr>
            <w:rStyle w:val="Hyperlink"/>
            <w:rFonts w:eastAsiaTheme="minorHAnsi"/>
            <w:b/>
            <w:color w:val="2E74B5" w:themeColor="accent1" w:themeShade="BF"/>
          </w:rPr>
          <w:t>https://www.revmedchir.ro/index.php/revmedchir/article/view/3280</w:t>
        </w:r>
      </w:hyperlink>
    </w:p>
    <w:p w14:paraId="67392827" w14:textId="193C2535" w:rsidR="0091545F" w:rsidRPr="00DB25BA" w:rsidRDefault="00D251A9" w:rsidP="00DB25BA">
      <w:pPr>
        <w:pStyle w:val="ListParagraph"/>
        <w:jc w:val="both"/>
        <w:rPr>
          <w:rFonts w:eastAsiaTheme="minorHAnsi"/>
          <w:b/>
        </w:rPr>
      </w:pPr>
      <w:r w:rsidRPr="00DB25BA">
        <w:rPr>
          <w:rFonts w:eastAsiaTheme="minorHAnsi"/>
          <w:b/>
        </w:rPr>
        <w:t>I</w:t>
      </w:r>
      <w:r w:rsidR="00DB25BA" w:rsidRPr="00DB25BA">
        <w:rPr>
          <w:rFonts w:eastAsiaTheme="minorHAnsi"/>
          <w:b/>
        </w:rPr>
        <w:t>F</w:t>
      </w:r>
      <w:r w:rsidRPr="00DB25BA">
        <w:rPr>
          <w:rFonts w:eastAsiaTheme="minorHAnsi"/>
          <w:b/>
        </w:rPr>
        <w:t xml:space="preserve"> – 0,1</w:t>
      </w:r>
    </w:p>
    <w:p w14:paraId="3BADB4B0" w14:textId="77777777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</w:p>
    <w:p w14:paraId="16C63B35" w14:textId="1044C716" w:rsidR="0091545F" w:rsidRPr="00DB25BA" w:rsidRDefault="00DB25BA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</w:rPr>
      </w:pPr>
      <w:r w:rsidRPr="00DB25BA">
        <w:rPr>
          <w:rFonts w:eastAsiaTheme="minorHAnsi"/>
          <w:bCs/>
        </w:rPr>
        <w:t xml:space="preserve">Grigoraș, G.; Ilie, A.C.; </w:t>
      </w:r>
      <w:r w:rsidRPr="00DB25BA">
        <w:rPr>
          <w:rFonts w:eastAsiaTheme="minorHAnsi"/>
          <w:b/>
        </w:rPr>
        <w:t>Turcu, A.-M</w:t>
      </w:r>
      <w:r w:rsidRPr="00DB25BA">
        <w:rPr>
          <w:rFonts w:eastAsiaTheme="minorHAnsi"/>
          <w:bCs/>
        </w:rPr>
        <w:t>.; Albișteanu, S.-M.; Lungu, I.-D.; Ștefăniu, R.; Pîslaru, A.I.; Gavrilovici, O.; Alexa, I.D. Resilience and Intrinsic Capacity in Older Adults: A Review of Recent Literature. </w:t>
      </w:r>
      <w:r w:rsidRPr="00DB25BA">
        <w:rPr>
          <w:rFonts w:eastAsiaTheme="minorHAnsi"/>
          <w:bCs/>
          <w:i/>
          <w:iCs/>
        </w:rPr>
        <w:t>J. Clin. Med.</w:t>
      </w:r>
      <w:r w:rsidRPr="00DB25BA">
        <w:rPr>
          <w:rFonts w:eastAsiaTheme="minorHAnsi"/>
          <w:bCs/>
        </w:rPr>
        <w:t> 2025, </w:t>
      </w:r>
      <w:r w:rsidRPr="00DB25BA">
        <w:rPr>
          <w:rFonts w:eastAsiaTheme="minorHAnsi"/>
          <w:bCs/>
          <w:i/>
          <w:iCs/>
        </w:rPr>
        <w:t>14</w:t>
      </w:r>
      <w:r w:rsidRPr="00DB25BA">
        <w:rPr>
          <w:rFonts w:eastAsiaTheme="minorHAnsi"/>
          <w:bCs/>
        </w:rPr>
        <w:t xml:space="preserve">, 7729. </w:t>
      </w:r>
      <w:hyperlink r:id="rId8" w:history="1">
        <w:r w:rsidRPr="00DB25BA">
          <w:rPr>
            <w:rStyle w:val="Hyperlink"/>
            <w:rFonts w:eastAsiaTheme="minorHAnsi"/>
            <w:bCs/>
            <w:color w:val="000000" w:themeColor="text1"/>
            <w:u w:val="none"/>
          </w:rPr>
          <w:t>doi.org/10.3390/jcm14217729</w:t>
        </w:r>
      </w:hyperlink>
    </w:p>
    <w:p w14:paraId="7C3FB2D2" w14:textId="5DC4C3DE" w:rsidR="00DB25BA" w:rsidRPr="00DB25BA" w:rsidRDefault="00DB25BA" w:rsidP="00DB25BA">
      <w:pPr>
        <w:pStyle w:val="ListParagraph"/>
        <w:jc w:val="both"/>
        <w:rPr>
          <w:rFonts w:eastAsiaTheme="minorHAnsi"/>
          <w:bCs/>
        </w:rPr>
      </w:pPr>
      <w:hyperlink r:id="rId9" w:history="1">
        <w:r w:rsidRPr="00DB25BA">
          <w:rPr>
            <w:rStyle w:val="Hyperlink"/>
            <w:rFonts w:eastAsiaTheme="minorHAnsi"/>
            <w:bCs/>
          </w:rPr>
          <w:t>https://www.mdpi.com/2077-0383/14/21/7729</w:t>
        </w:r>
      </w:hyperlink>
    </w:p>
    <w:p w14:paraId="3D4CB030" w14:textId="54B2B6CB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  <w:r w:rsidRPr="00DB25BA">
        <w:rPr>
          <w:rFonts w:eastAsiaTheme="minorHAnsi"/>
          <w:b/>
        </w:rPr>
        <w:t>IF – 2,9</w:t>
      </w:r>
    </w:p>
    <w:p w14:paraId="6922F0E5" w14:textId="77777777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</w:p>
    <w:p w14:paraId="6547BB86" w14:textId="4C6784B9" w:rsidR="00DB25BA" w:rsidRPr="00DB25BA" w:rsidRDefault="00DB25BA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</w:rPr>
      </w:pPr>
      <w:r w:rsidRPr="00DB25BA">
        <w:rPr>
          <w:rFonts w:eastAsiaTheme="minorHAnsi"/>
          <w:bCs/>
        </w:rPr>
        <w:t xml:space="preserve">Ilie, A.C.; Taranu, S.M.; Stefaniu, R.; Sandu, I.A.; Pislaru, A.I.; Sandu, C.A.; </w:t>
      </w:r>
      <w:r w:rsidRPr="00DB25BA">
        <w:rPr>
          <w:rFonts w:eastAsiaTheme="minorHAnsi"/>
          <w:b/>
        </w:rPr>
        <w:t xml:space="preserve">Turcu, A.-M.; </w:t>
      </w:r>
      <w:r w:rsidRPr="00DB25BA">
        <w:rPr>
          <w:rFonts w:eastAsiaTheme="minorHAnsi"/>
          <w:bCs/>
        </w:rPr>
        <w:t>Alexa, I.D. Chronic Coronary Syndrome in Frail Old Population. </w:t>
      </w:r>
      <w:r w:rsidRPr="00DB25BA">
        <w:rPr>
          <w:rFonts w:eastAsiaTheme="minorHAnsi"/>
          <w:bCs/>
          <w:i/>
          <w:iCs/>
        </w:rPr>
        <w:t>Life</w:t>
      </w:r>
      <w:r w:rsidRPr="00DB25BA">
        <w:rPr>
          <w:rFonts w:eastAsiaTheme="minorHAnsi"/>
          <w:bCs/>
        </w:rPr>
        <w:t> 2022, </w:t>
      </w:r>
      <w:r w:rsidRPr="00DB25BA">
        <w:rPr>
          <w:rFonts w:eastAsiaTheme="minorHAnsi"/>
          <w:bCs/>
          <w:i/>
          <w:iCs/>
        </w:rPr>
        <w:t>12</w:t>
      </w:r>
      <w:r w:rsidRPr="00DB25BA">
        <w:rPr>
          <w:rFonts w:eastAsiaTheme="minorHAnsi"/>
          <w:bCs/>
        </w:rPr>
        <w:t xml:space="preserve">, 1133. </w:t>
      </w:r>
      <w:hyperlink r:id="rId10" w:history="1">
        <w:r w:rsidRPr="00DB25BA">
          <w:rPr>
            <w:rStyle w:val="Hyperlink"/>
            <w:rFonts w:eastAsiaTheme="minorHAnsi"/>
            <w:bCs/>
          </w:rPr>
          <w:t>https://doi.org/10.3390/life12081133</w:t>
        </w:r>
      </w:hyperlink>
    </w:p>
    <w:p w14:paraId="7B772B12" w14:textId="23912318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  <w:r w:rsidRPr="00DB25BA">
        <w:rPr>
          <w:rFonts w:eastAsiaTheme="minorHAnsi"/>
          <w:b/>
        </w:rPr>
        <w:t>IF – 3,4</w:t>
      </w:r>
    </w:p>
    <w:p w14:paraId="5A4F4275" w14:textId="77777777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</w:p>
    <w:p w14:paraId="6D6AC445" w14:textId="3001C356" w:rsidR="00DB25BA" w:rsidRPr="00DB25BA" w:rsidRDefault="00DB25BA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</w:rPr>
      </w:pPr>
      <w:r w:rsidRPr="00DB25BA">
        <w:rPr>
          <w:rFonts w:eastAsiaTheme="minorHAnsi"/>
          <w:bCs/>
        </w:rPr>
        <w:t xml:space="preserve">Ionut Nistor, </w:t>
      </w:r>
      <w:r w:rsidRPr="00DB25BA">
        <w:rPr>
          <w:rFonts w:eastAsiaTheme="minorHAnsi"/>
          <w:b/>
        </w:rPr>
        <w:t>Ana-Maria Turcu</w:t>
      </w:r>
      <w:r w:rsidRPr="00DB25BA">
        <w:rPr>
          <w:rFonts w:eastAsiaTheme="minorHAnsi"/>
          <w:bCs/>
        </w:rPr>
        <w:t>, Anca Elena Stefan, Alexandra Covic, Bogdan Agavriloaei, Gheorghe Mahu, Ioana Alexa, Adrian Covic, Ioana Dana Alexa</w:t>
      </w:r>
      <w:r w:rsidRPr="00DB25BA">
        <w:rPr>
          <w:rFonts w:eastAsiaTheme="minorHAnsi"/>
          <w:bCs/>
        </w:rPr>
        <w:t xml:space="preserve">. </w:t>
      </w:r>
      <w:hyperlink r:id="rId11" w:history="1">
        <w:r w:rsidRPr="00DB25BA">
          <w:rPr>
            <w:rStyle w:val="Hyperlink"/>
            <w:rFonts w:eastAsiaTheme="minorHAnsi"/>
            <w:bCs/>
            <w:color w:val="000000" w:themeColor="text1"/>
            <w:u w:val="none"/>
          </w:rPr>
          <w:t>Prevalence of chronic kidney disease among elderly patients in the Northeastern region of romania: a descriptive, cross-sectional, retrospective analysis</w:t>
        </w:r>
      </w:hyperlink>
      <w:r w:rsidRPr="00DB25BA">
        <w:rPr>
          <w:rFonts w:eastAsiaTheme="minorHAnsi"/>
          <w:bCs/>
          <w:color w:val="000000" w:themeColor="text1"/>
        </w:rPr>
        <w:t xml:space="preserve">. </w:t>
      </w:r>
      <w:r w:rsidRPr="00DB25BA">
        <w:rPr>
          <w:rFonts w:eastAsiaTheme="minorHAnsi"/>
          <w:bCs/>
        </w:rPr>
        <w:t>2025/3/11</w:t>
      </w:r>
      <w:r w:rsidRPr="00DB25BA">
        <w:rPr>
          <w:rFonts w:eastAsiaTheme="minorHAnsi"/>
          <w:bCs/>
        </w:rPr>
        <w:t>. Cureus. Vol. 17, Nr. 3.</w:t>
      </w:r>
    </w:p>
    <w:p w14:paraId="463030B2" w14:textId="7B845133" w:rsidR="00886BA9" w:rsidRPr="00DB25BA" w:rsidRDefault="00DB25BA" w:rsidP="00DB25BA">
      <w:pPr>
        <w:pStyle w:val="ListParagraph"/>
        <w:jc w:val="both"/>
        <w:rPr>
          <w:rFonts w:eastAsiaTheme="minorHAnsi"/>
          <w:bCs/>
        </w:rPr>
      </w:pPr>
      <w:r w:rsidRPr="00DB25BA">
        <w:rPr>
          <w:rFonts w:eastAsiaTheme="minorHAnsi"/>
          <w:bCs/>
        </w:rPr>
        <w:t>chrome-extension://efaidnbmnnnibpcajpcglclefindmkaj/https://www.cureus.com/articles/337437-prevalence-of-chronic-kidney-disease-among-elderly-patients-in-the-northeastern-region-of-romania-a-descriptive-cross-sectional-retrospective-analysis.pdf</w:t>
      </w:r>
    </w:p>
    <w:p w14:paraId="55BBF831" w14:textId="30F5D082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  <w:r w:rsidRPr="00DB25BA">
        <w:rPr>
          <w:rFonts w:eastAsiaTheme="minorHAnsi"/>
          <w:b/>
        </w:rPr>
        <w:t>IF – 1.3</w:t>
      </w:r>
    </w:p>
    <w:p w14:paraId="4B08A3AA" w14:textId="77777777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</w:p>
    <w:p w14:paraId="19F378A7" w14:textId="6C262951" w:rsidR="00DB25BA" w:rsidRPr="00DB25BA" w:rsidRDefault="00DB25BA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</w:rPr>
      </w:pPr>
      <w:r w:rsidRPr="00DB25BA">
        <w:rPr>
          <w:rFonts w:eastAsiaTheme="minorHAnsi"/>
          <w:bCs/>
        </w:rPr>
        <w:lastRenderedPageBreak/>
        <w:t xml:space="preserve">Sabinne Albisteanu, Adina Carmen Ilie, Ramina Stefaniu, </w:t>
      </w:r>
      <w:r w:rsidRPr="00DB25BA">
        <w:rPr>
          <w:rFonts w:eastAsiaTheme="minorHAnsi"/>
          <w:b/>
        </w:rPr>
        <w:t>Ana-Maria Turcu</w:t>
      </w:r>
      <w:r w:rsidRPr="00DB25BA">
        <w:rPr>
          <w:rFonts w:eastAsiaTheme="minorHAnsi"/>
          <w:bCs/>
        </w:rPr>
        <w:t xml:space="preserve">, Gabriela Grigoras, Anca-Iuliana Pislaru. </w:t>
      </w:r>
      <w:r w:rsidRPr="00DB25BA">
        <w:rPr>
          <w:rFonts w:eastAsiaTheme="minorHAnsi"/>
          <w:bCs/>
        </w:rPr>
        <w:t>Implications of Bioimpedance in Determining Body Composition Analysis," </w:t>
      </w:r>
      <w:r w:rsidRPr="00DB25BA">
        <w:rPr>
          <w:rFonts w:eastAsiaTheme="minorHAnsi"/>
          <w:bCs/>
          <w:i/>
          <w:iCs/>
        </w:rPr>
        <w:t>2024 E-Health and Bioengineering Conference (EHB)</w:t>
      </w:r>
      <w:r w:rsidRPr="00DB25BA">
        <w:rPr>
          <w:rFonts w:eastAsiaTheme="minorHAnsi"/>
          <w:bCs/>
        </w:rPr>
        <w:t>, IASI, Romania, 2024, pp. 1-4, doi: 10.1109/EHB64556.2024.10805577</w:t>
      </w:r>
      <w:r w:rsidRPr="00DB25BA">
        <w:rPr>
          <w:rFonts w:eastAsiaTheme="minorHAnsi"/>
          <w:bCs/>
        </w:rPr>
        <w:t>.</w:t>
      </w:r>
    </w:p>
    <w:p w14:paraId="12115075" w14:textId="52CFEACA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  <w:hyperlink r:id="rId12" w:history="1">
        <w:r w:rsidRPr="00DB25BA">
          <w:rPr>
            <w:rStyle w:val="Hyperlink"/>
            <w:rFonts w:eastAsiaTheme="minorHAnsi"/>
            <w:b/>
          </w:rPr>
          <w:t>https://ieeexplore.ieee.org/abstract/document/10805577</w:t>
        </w:r>
      </w:hyperlink>
    </w:p>
    <w:p w14:paraId="411DFC84" w14:textId="387AC4BF" w:rsidR="00DB25BA" w:rsidRPr="00DB25BA" w:rsidRDefault="00DB25BA" w:rsidP="00DB25BA">
      <w:pPr>
        <w:pStyle w:val="ListParagraph"/>
        <w:jc w:val="both"/>
        <w:rPr>
          <w:rFonts w:eastAsiaTheme="minorHAnsi"/>
          <w:b/>
        </w:rPr>
      </w:pPr>
      <w:r w:rsidRPr="00DB25BA">
        <w:rPr>
          <w:rFonts w:eastAsiaTheme="minorHAnsi"/>
          <w:b/>
        </w:rPr>
        <w:t>IF – 3.5</w:t>
      </w:r>
    </w:p>
    <w:p w14:paraId="0F963ADD" w14:textId="022843BA" w:rsidR="00DB25BA" w:rsidRPr="00DB25BA" w:rsidRDefault="00DB25BA" w:rsidP="00DB25BA">
      <w:pPr>
        <w:jc w:val="both"/>
        <w:rPr>
          <w:rFonts w:eastAsiaTheme="minorHAnsi"/>
          <w:b/>
        </w:rPr>
      </w:pPr>
    </w:p>
    <w:p w14:paraId="7547B9D8" w14:textId="4F57703C" w:rsidR="00DB25BA" w:rsidRPr="00DB25BA" w:rsidRDefault="00DB25BA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  <w:color w:val="000000" w:themeColor="text1"/>
        </w:rPr>
      </w:pPr>
      <w:r w:rsidRPr="00DB25BA">
        <w:rPr>
          <w:rFonts w:eastAsiaTheme="minorHAnsi"/>
          <w:bCs/>
        </w:rPr>
        <w:t xml:space="preserve">Adina Carmen Ilie, </w:t>
      </w:r>
      <w:r w:rsidRPr="00DB25BA">
        <w:rPr>
          <w:rFonts w:eastAsiaTheme="minorHAnsi"/>
          <w:b/>
        </w:rPr>
        <w:t>Ana-Maria Turcu</w:t>
      </w:r>
      <w:r w:rsidRPr="00DB25BA">
        <w:rPr>
          <w:rFonts w:eastAsiaTheme="minorHAnsi"/>
          <w:bCs/>
        </w:rPr>
        <w:t>, Teodora Alexa-Stratulat, Ramona Ştefăniu, Sabinne Marie Ţăranu, Cristian Rotariu, Hariton Costin, Ioana Dana Alexa</w:t>
      </w:r>
      <w:r w:rsidRPr="00DB25BA">
        <w:rPr>
          <w:rFonts w:eastAsiaTheme="minorHAnsi"/>
          <w:bCs/>
        </w:rPr>
        <w:t xml:space="preserve">. </w:t>
      </w:r>
      <w:hyperlink r:id="rId13" w:history="1">
        <w:r w:rsidRPr="00DB25BA">
          <w:rPr>
            <w:rStyle w:val="Hyperlink"/>
            <w:rFonts w:eastAsiaTheme="minorHAnsi"/>
            <w:bCs/>
            <w:color w:val="000000" w:themeColor="text1"/>
            <w:u w:val="none"/>
          </w:rPr>
          <w:t>Determining Heart Rate Variability in Oncological Patients Using ECG Holter vs Photoplethysmography-Old vs New Method</w:t>
        </w:r>
      </w:hyperlink>
      <w:r w:rsidRPr="00DB25BA">
        <w:rPr>
          <w:rFonts w:eastAsiaTheme="minorHAnsi"/>
          <w:bCs/>
          <w:color w:val="000000" w:themeColor="text1"/>
        </w:rPr>
        <w:t xml:space="preserve">. </w:t>
      </w:r>
      <w:r w:rsidRPr="00DB25BA">
        <w:rPr>
          <w:rFonts w:eastAsiaTheme="minorHAnsi"/>
          <w:bCs/>
          <w:color w:val="000000" w:themeColor="text1"/>
        </w:rPr>
        <w:t>2022 E-Health and Bioengineering Conference (EHB)</w:t>
      </w:r>
      <w:r w:rsidRPr="00DB25BA">
        <w:rPr>
          <w:rFonts w:eastAsiaTheme="minorHAnsi"/>
          <w:bCs/>
          <w:color w:val="000000" w:themeColor="text1"/>
        </w:rPr>
        <w:t>.</w:t>
      </w:r>
    </w:p>
    <w:p w14:paraId="183B9690" w14:textId="65376030" w:rsidR="00DB25BA" w:rsidRPr="00DB25BA" w:rsidRDefault="00DB25BA" w:rsidP="00DB25BA">
      <w:pPr>
        <w:pStyle w:val="ListParagraph"/>
        <w:jc w:val="both"/>
        <w:rPr>
          <w:rFonts w:eastAsiaTheme="minorHAnsi"/>
          <w:bCs/>
          <w:color w:val="000000" w:themeColor="text1"/>
        </w:rPr>
      </w:pPr>
      <w:hyperlink r:id="rId14" w:history="1">
        <w:r w:rsidRPr="00DB25BA">
          <w:rPr>
            <w:rStyle w:val="Hyperlink"/>
            <w:rFonts w:eastAsiaTheme="minorHAnsi"/>
            <w:bCs/>
          </w:rPr>
          <w:t>https://ieeexplore.ieee.org/abstract/document/9991453</w:t>
        </w:r>
      </w:hyperlink>
    </w:p>
    <w:p w14:paraId="7240BBBC" w14:textId="2B72B43B" w:rsidR="00DB25BA" w:rsidRPr="00DB25BA" w:rsidRDefault="00DB25BA" w:rsidP="00DB25BA">
      <w:pPr>
        <w:pStyle w:val="ListParagraph"/>
        <w:jc w:val="both"/>
        <w:rPr>
          <w:rFonts w:eastAsiaTheme="minorHAnsi"/>
          <w:b/>
          <w:color w:val="000000" w:themeColor="text1"/>
        </w:rPr>
      </w:pPr>
      <w:r w:rsidRPr="00DB25BA">
        <w:rPr>
          <w:rFonts w:eastAsiaTheme="minorHAnsi"/>
          <w:b/>
          <w:color w:val="000000" w:themeColor="text1"/>
        </w:rPr>
        <w:t>IF – 3.5</w:t>
      </w:r>
    </w:p>
    <w:p w14:paraId="353B75F9" w14:textId="77777777" w:rsidR="00DB25BA" w:rsidRPr="00DB25BA" w:rsidRDefault="00DB25BA" w:rsidP="00DB25BA">
      <w:pPr>
        <w:pStyle w:val="ListParagraph"/>
        <w:jc w:val="both"/>
        <w:rPr>
          <w:rFonts w:eastAsiaTheme="minorHAnsi"/>
          <w:bCs/>
          <w:color w:val="000000" w:themeColor="text1"/>
        </w:rPr>
      </w:pPr>
    </w:p>
    <w:p w14:paraId="1568E575" w14:textId="11F7935F" w:rsidR="00DB25BA" w:rsidRPr="00DB25BA" w:rsidRDefault="00DB25BA" w:rsidP="00DB25BA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  <w:color w:val="000000" w:themeColor="text1"/>
        </w:rPr>
      </w:pPr>
      <w:r w:rsidRPr="00DB25BA">
        <w:rPr>
          <w:rFonts w:eastAsiaTheme="minorHAnsi"/>
          <w:bCs/>
          <w:color w:val="000000" w:themeColor="text1"/>
        </w:rPr>
        <w:t xml:space="preserve">Sabinne-Marie Albișteanu, Adina Carmen Ilie, Anca Iuliana Pîslaru, Ramona Ștefăniu, </w:t>
      </w:r>
      <w:r w:rsidRPr="00DB25BA">
        <w:rPr>
          <w:rFonts w:eastAsiaTheme="minorHAnsi"/>
          <w:b/>
          <w:color w:val="000000" w:themeColor="text1"/>
        </w:rPr>
        <w:t>Ana-Maria Turcu</w:t>
      </w:r>
      <w:r w:rsidRPr="00DB25BA">
        <w:rPr>
          <w:rFonts w:eastAsiaTheme="minorHAnsi"/>
          <w:bCs/>
          <w:color w:val="000000" w:themeColor="text1"/>
        </w:rPr>
        <w:t>, Gabriela Grigoraș, Iulia-Daniela Lungu, Ioana Dana Alexa</w:t>
      </w:r>
      <w:r w:rsidRPr="00DB25BA">
        <w:rPr>
          <w:rFonts w:eastAsiaTheme="minorHAnsi"/>
          <w:bCs/>
          <w:color w:val="000000" w:themeColor="text1"/>
        </w:rPr>
        <w:t xml:space="preserve">. </w:t>
      </w:r>
      <w:hyperlink r:id="rId15" w:history="1">
        <w:r w:rsidRPr="00DB25BA">
          <w:rPr>
            <w:rStyle w:val="Hyperlink"/>
            <w:rFonts w:eastAsiaTheme="minorHAnsi"/>
            <w:bCs/>
            <w:color w:val="000000" w:themeColor="text1"/>
            <w:u w:val="none"/>
          </w:rPr>
          <w:t>The Impact of Burnout on Body Composition in Medical Staff</w:t>
        </w:r>
      </w:hyperlink>
      <w:r w:rsidRPr="00DB25BA">
        <w:rPr>
          <w:rFonts w:eastAsiaTheme="minorHAnsi"/>
          <w:bCs/>
          <w:color w:val="000000" w:themeColor="text1"/>
        </w:rPr>
        <w:t xml:space="preserve">. </w:t>
      </w:r>
    </w:p>
    <w:p w14:paraId="59282096" w14:textId="3B4E5AD0" w:rsidR="00DB25BA" w:rsidRPr="00DB25BA" w:rsidRDefault="00DB25BA" w:rsidP="00DB25BA">
      <w:pPr>
        <w:pStyle w:val="ListParagraph"/>
        <w:shd w:val="clear" w:color="auto" w:fill="FFFFFF"/>
        <w:jc w:val="both"/>
        <w:rPr>
          <w:color w:val="222222"/>
        </w:rPr>
      </w:pPr>
      <w:r w:rsidRPr="00DB25BA">
        <w:rPr>
          <w:color w:val="222222"/>
        </w:rPr>
        <w:t>2026/4/3</w:t>
      </w:r>
      <w:r w:rsidRPr="00DB25BA">
        <w:rPr>
          <w:color w:val="222222"/>
        </w:rPr>
        <w:t xml:space="preserve">. </w:t>
      </w:r>
      <w:r w:rsidRPr="00DB25BA">
        <w:rPr>
          <w:color w:val="222222"/>
        </w:rPr>
        <w:t>Medicina</w:t>
      </w:r>
      <w:r w:rsidRPr="00DB25BA">
        <w:rPr>
          <w:color w:val="222222"/>
        </w:rPr>
        <w:t xml:space="preserve">. Vol. 64. </w:t>
      </w:r>
    </w:p>
    <w:p w14:paraId="0EF77CD0" w14:textId="04AC1B02" w:rsidR="00DB25BA" w:rsidRPr="00DB25BA" w:rsidRDefault="00DB25BA" w:rsidP="00DB25BA">
      <w:pPr>
        <w:pStyle w:val="ListParagraph"/>
        <w:shd w:val="clear" w:color="auto" w:fill="FFFFFF"/>
        <w:jc w:val="both"/>
        <w:rPr>
          <w:color w:val="222222"/>
          <w:lang w:val="en-US"/>
        </w:rPr>
      </w:pPr>
      <w:hyperlink r:id="rId16" w:history="1">
        <w:r w:rsidRPr="00DB25BA">
          <w:rPr>
            <w:rStyle w:val="Hyperlink"/>
            <w:lang w:val="en-US"/>
          </w:rPr>
          <w:t>https://www.mdpi.com/1648-9144/62/4/690</w:t>
        </w:r>
      </w:hyperlink>
    </w:p>
    <w:p w14:paraId="4BEA1C2A" w14:textId="030246C2" w:rsidR="00DB25BA" w:rsidRPr="00DB25BA" w:rsidRDefault="00DB25BA" w:rsidP="00DB25BA">
      <w:pPr>
        <w:pStyle w:val="ListParagraph"/>
        <w:shd w:val="clear" w:color="auto" w:fill="FFFFFF"/>
        <w:jc w:val="both"/>
        <w:rPr>
          <w:b/>
          <w:bCs/>
          <w:color w:val="222222"/>
          <w:lang w:val="en-US"/>
        </w:rPr>
      </w:pPr>
      <w:r w:rsidRPr="00DB25BA">
        <w:rPr>
          <w:b/>
          <w:bCs/>
          <w:color w:val="222222"/>
          <w:lang w:val="en-US"/>
        </w:rPr>
        <w:t>IF – 3.5</w:t>
      </w:r>
    </w:p>
    <w:p w14:paraId="0D18A46E" w14:textId="77777777" w:rsidR="00DB25BA" w:rsidRPr="00DB25BA" w:rsidRDefault="00DB25BA" w:rsidP="00DB25BA">
      <w:pPr>
        <w:pStyle w:val="ListParagraph"/>
        <w:shd w:val="clear" w:color="auto" w:fill="FFFFFF"/>
        <w:jc w:val="both"/>
        <w:rPr>
          <w:color w:val="222222"/>
          <w:lang w:val="en-US"/>
        </w:rPr>
      </w:pPr>
    </w:p>
    <w:p w14:paraId="0CA4970B" w14:textId="160666AE" w:rsidR="00DB25BA" w:rsidRPr="00DB25BA" w:rsidRDefault="00DB25BA" w:rsidP="00DB25BA">
      <w:pPr>
        <w:pStyle w:val="ListParagraph"/>
        <w:numPr>
          <w:ilvl w:val="0"/>
          <w:numId w:val="1"/>
        </w:numPr>
        <w:shd w:val="clear" w:color="auto" w:fill="FFFFFF"/>
        <w:jc w:val="both"/>
        <w:rPr>
          <w:color w:val="222222"/>
          <w:lang w:val="en-US"/>
        </w:rPr>
      </w:pPr>
      <w:r w:rsidRPr="00DB25BA">
        <w:rPr>
          <w:color w:val="222222"/>
        </w:rPr>
        <w:t xml:space="preserve">Sandu, I.-A.; Ștefăniu, R.; Alexa-Stratulat, T.; Ilie, A.-C.; Albișteanu, S.-M.; </w:t>
      </w:r>
      <w:r w:rsidRPr="00DB25BA">
        <w:rPr>
          <w:b/>
          <w:bCs/>
          <w:color w:val="222222"/>
        </w:rPr>
        <w:t>Turcu, A.-M</w:t>
      </w:r>
      <w:r w:rsidRPr="00DB25BA">
        <w:rPr>
          <w:color w:val="222222"/>
        </w:rPr>
        <w:t>.; Sandu, C.-A.; Alexa, A.-I.; Pîslaru, A.-I.; Grigoraș, G.; et al. Preventing Dementia—A Cross-Sectional Study of Outpatients in a Tertiary Internal Medicine Department. </w:t>
      </w:r>
      <w:r w:rsidRPr="00DB25BA">
        <w:rPr>
          <w:i/>
          <w:iCs/>
          <w:color w:val="222222"/>
        </w:rPr>
        <w:t>J. Pers. Med.</w:t>
      </w:r>
      <w:r w:rsidRPr="00DB25BA">
        <w:rPr>
          <w:color w:val="222222"/>
        </w:rPr>
        <w:t> </w:t>
      </w:r>
      <w:r w:rsidRPr="00DB25BA">
        <w:rPr>
          <w:b/>
          <w:bCs/>
          <w:color w:val="222222"/>
        </w:rPr>
        <w:t>2023</w:t>
      </w:r>
      <w:r w:rsidRPr="00DB25BA">
        <w:rPr>
          <w:color w:val="222222"/>
        </w:rPr>
        <w:t>, </w:t>
      </w:r>
      <w:r w:rsidRPr="00DB25BA">
        <w:rPr>
          <w:i/>
          <w:iCs/>
          <w:color w:val="222222"/>
        </w:rPr>
        <w:t>13</w:t>
      </w:r>
      <w:r w:rsidRPr="00DB25BA">
        <w:rPr>
          <w:color w:val="222222"/>
        </w:rPr>
        <w:t xml:space="preserve">, 1630. </w:t>
      </w:r>
      <w:hyperlink r:id="rId17" w:history="1">
        <w:r w:rsidRPr="00DB25BA">
          <w:rPr>
            <w:rStyle w:val="Hyperlink"/>
          </w:rPr>
          <w:t>https://doi.org/10.3390/jpm13121630</w:t>
        </w:r>
      </w:hyperlink>
    </w:p>
    <w:p w14:paraId="6E87C4A1" w14:textId="19694925" w:rsidR="00DB25BA" w:rsidRPr="00DB25BA" w:rsidRDefault="00DB25BA" w:rsidP="00DB25BA">
      <w:pPr>
        <w:pStyle w:val="ListParagraph"/>
        <w:shd w:val="clear" w:color="auto" w:fill="FFFFFF"/>
        <w:jc w:val="both"/>
        <w:rPr>
          <w:b/>
          <w:bCs/>
          <w:color w:val="222222"/>
          <w:lang w:val="en-US"/>
        </w:rPr>
      </w:pPr>
      <w:r w:rsidRPr="00DB25BA">
        <w:rPr>
          <w:b/>
          <w:bCs/>
          <w:color w:val="222222"/>
        </w:rPr>
        <w:t>IF - 3</w:t>
      </w:r>
    </w:p>
    <w:p w14:paraId="41ED9978" w14:textId="77777777" w:rsidR="00DB25BA" w:rsidRPr="00DB25BA" w:rsidRDefault="00DB25BA" w:rsidP="00DB25BA">
      <w:pPr>
        <w:pStyle w:val="ListParagraph"/>
        <w:jc w:val="both"/>
        <w:rPr>
          <w:rFonts w:eastAsiaTheme="minorHAnsi"/>
          <w:bCs/>
          <w:color w:val="000000" w:themeColor="text1"/>
        </w:rPr>
      </w:pPr>
    </w:p>
    <w:sectPr w:rsidR="00DB25BA" w:rsidRPr="00DB2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C4D"/>
    <w:multiLevelType w:val="hybridMultilevel"/>
    <w:tmpl w:val="74206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74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5F"/>
    <w:rsid w:val="0010285E"/>
    <w:rsid w:val="00886BA9"/>
    <w:rsid w:val="0091545F"/>
    <w:rsid w:val="00B75B2A"/>
    <w:rsid w:val="00D251A9"/>
    <w:rsid w:val="00D74700"/>
    <w:rsid w:val="00DB25BA"/>
    <w:rsid w:val="00E4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54E9"/>
  <w15:chartTrackingRefBased/>
  <w15:docId w15:val="{6E40C1D3-2067-4AA8-8F81-38C833B5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45F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1545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1545F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B2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jcm14217729" TargetMode="External"/><Relationship Id="rId13" Type="http://schemas.openxmlformats.org/officeDocument/2006/relationships/hyperlink" Target="https://ieeexplore.ieee.org/abstract/document/9991453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vmedchir.ro/index.php/revmedchir/article/view/3280" TargetMode="External"/><Relationship Id="rId12" Type="http://schemas.openxmlformats.org/officeDocument/2006/relationships/hyperlink" Target="https://ieeexplore.ieee.org/abstract/document/10805577" TargetMode="External"/><Relationship Id="rId17" Type="http://schemas.openxmlformats.org/officeDocument/2006/relationships/hyperlink" Target="https://doi.org/10.3390/jpm131216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dpi.com/1648-9144/62/4/6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jcm14092981" TargetMode="External"/><Relationship Id="rId11" Type="http://schemas.openxmlformats.org/officeDocument/2006/relationships/hyperlink" Target="https://www.cureus.com/articles/337437-prevalence-of-chronic-kidney-disease-among-elderly-patients-in-the-northeastern-region-of-romania-a-descriptive-cross-sectional-retrospective-analysis.pdf" TargetMode="External"/><Relationship Id="rId5" Type="http://schemas.openxmlformats.org/officeDocument/2006/relationships/hyperlink" Target="https://pubmed.ncbi.nlm.nih.gov/37510126/" TargetMode="External"/><Relationship Id="rId15" Type="http://schemas.openxmlformats.org/officeDocument/2006/relationships/hyperlink" Target="https://www.mdpi.com/1648-9144/62/4/690" TargetMode="External"/><Relationship Id="rId10" Type="http://schemas.openxmlformats.org/officeDocument/2006/relationships/hyperlink" Target="https://doi.org/10.3390/life1208113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077-0383/14/21/7729" TargetMode="External"/><Relationship Id="rId14" Type="http://schemas.openxmlformats.org/officeDocument/2006/relationships/hyperlink" Target="https://ieeexplore.ieee.org/abstract/document/9991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</dc:creator>
  <cp:keywords/>
  <dc:description/>
  <cp:lastModifiedBy>Adina Carmen Ilie</cp:lastModifiedBy>
  <cp:revision>6</cp:revision>
  <cp:lastPrinted>2026-05-21T18:48:00Z</cp:lastPrinted>
  <dcterms:created xsi:type="dcterms:W3CDTF">2026-03-02T12:14:00Z</dcterms:created>
  <dcterms:modified xsi:type="dcterms:W3CDTF">2026-05-21T18:48:00Z</dcterms:modified>
</cp:coreProperties>
</file>