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399FC3" w14:textId="77777777" w:rsidR="0054727D" w:rsidRDefault="0099161C">
      <w:pPr>
        <w:spacing w:after="40"/>
      </w:pPr>
      <w:r>
        <w:rPr>
          <w:b/>
          <w:bCs/>
          <w:color w:val="0E4194"/>
          <w:spacing w:val="20"/>
          <w:sz w:val="30"/>
          <w:szCs w:val="30"/>
        </w:rPr>
        <w:t>CURRICULUM VITAE</w:t>
      </w:r>
    </w:p>
    <w:p w14:paraId="27B2F5E6" w14:textId="77777777" w:rsidR="0054727D" w:rsidRDefault="0099161C">
      <w:pPr>
        <w:pBdr>
          <w:bottom w:val="single" w:sz="18" w:space="6" w:color="0E4194"/>
        </w:pBdr>
        <w:spacing w:after="200"/>
      </w:pPr>
      <w:r>
        <w:rPr>
          <w:i/>
          <w:iCs/>
          <w:color w:val="555555"/>
        </w:rPr>
        <w:t>Europass</w:t>
      </w:r>
    </w:p>
    <w:tbl>
      <w:tblPr>
        <w:tblW w:w="5000" w:type="pct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10"/>
        <w:gridCol w:w="7056"/>
      </w:tblGrid>
      <w:tr w:rsidR="0054727D" w14:paraId="3A4F2E1F" w14:textId="77777777">
        <w:tc>
          <w:tcPr>
            <w:tcW w:w="3050" w:type="dxa"/>
            <w:shd w:val="clear" w:color="auto" w:fill="EAF0F8"/>
            <w:tcMar>
              <w:top w:w="200" w:type="dxa"/>
              <w:left w:w="200" w:type="dxa"/>
              <w:bottom w:w="200" w:type="dxa"/>
              <w:right w:w="200" w:type="dxa"/>
            </w:tcMar>
          </w:tcPr>
          <w:p w14:paraId="17904E5A" w14:textId="1918F996" w:rsidR="0054727D" w:rsidRDefault="0054727D">
            <w:pPr>
              <w:spacing w:after="160"/>
              <w:jc w:val="center"/>
            </w:pPr>
          </w:p>
          <w:p w14:paraId="161A855A" w14:textId="77777777" w:rsidR="0054727D" w:rsidRDefault="0099161C">
            <w:pPr>
              <w:spacing w:after="20"/>
              <w:jc w:val="center"/>
            </w:pPr>
            <w:r>
              <w:rPr>
                <w:b/>
                <w:bCs/>
                <w:color w:val="0E4194"/>
                <w:sz w:val="26"/>
                <w:szCs w:val="26"/>
              </w:rPr>
              <w:t>Talida Georgiana</w:t>
            </w:r>
          </w:p>
          <w:p w14:paraId="127A7915" w14:textId="77777777" w:rsidR="0054727D" w:rsidRDefault="0099161C">
            <w:pPr>
              <w:spacing w:after="60"/>
              <w:jc w:val="center"/>
            </w:pPr>
            <w:r>
              <w:rPr>
                <w:b/>
                <w:bCs/>
                <w:color w:val="0E4194"/>
                <w:sz w:val="26"/>
                <w:szCs w:val="26"/>
              </w:rPr>
              <w:t>NOVĂCESCU</w:t>
            </w:r>
          </w:p>
          <w:p w14:paraId="7F83D49F" w14:textId="77777777" w:rsidR="0054727D" w:rsidRDefault="0099161C">
            <w:pPr>
              <w:spacing w:after="120"/>
              <w:jc w:val="center"/>
            </w:pPr>
            <w:r>
              <w:rPr>
                <w:i/>
                <w:iCs/>
                <w:color w:val="555555"/>
                <w:sz w:val="16"/>
                <w:szCs w:val="16"/>
              </w:rPr>
              <w:t>Medic specialist Boli Infecțioase</w:t>
            </w:r>
          </w:p>
          <w:p w14:paraId="7F80C83A" w14:textId="77777777" w:rsidR="0054727D" w:rsidRDefault="0099161C">
            <w:pPr>
              <w:pBdr>
                <w:bottom w:val="single" w:sz="6" w:space="4" w:color="0E4194"/>
              </w:pBdr>
              <w:spacing w:before="240" w:after="80"/>
            </w:pPr>
            <w:r>
              <w:rPr>
                <w:b/>
                <w:bCs/>
                <w:color w:val="0A3170"/>
                <w:spacing w:val="10"/>
                <w:sz w:val="19"/>
                <w:szCs w:val="19"/>
              </w:rPr>
              <w:t>CONTACT</w:t>
            </w:r>
          </w:p>
          <w:p w14:paraId="293E472B" w14:textId="77777777" w:rsidR="0054727D" w:rsidRDefault="0099161C">
            <w:pPr>
              <w:pBdr>
                <w:bottom w:val="single" w:sz="6" w:space="4" w:color="0E4194"/>
              </w:pBdr>
              <w:spacing w:before="240" w:after="80"/>
            </w:pPr>
            <w:r>
              <w:rPr>
                <w:b/>
                <w:bCs/>
                <w:color w:val="0A3170"/>
                <w:spacing w:val="10"/>
                <w:sz w:val="19"/>
                <w:szCs w:val="19"/>
              </w:rPr>
              <w:t>LIMBA(I) MATERNĂ(E)</w:t>
            </w:r>
          </w:p>
          <w:p w14:paraId="20ADDFE8" w14:textId="77777777" w:rsidR="0054727D" w:rsidRDefault="0099161C">
            <w:pPr>
              <w:pBdr>
                <w:bottom w:val="single" w:sz="6" w:space="4" w:color="0E4194"/>
              </w:pBdr>
              <w:spacing w:before="240" w:after="80"/>
            </w:pPr>
            <w:bookmarkStart w:id="0" w:name="_GoBack"/>
            <w:bookmarkEnd w:id="0"/>
            <w:r>
              <w:rPr>
                <w:b/>
                <w:bCs/>
                <w:color w:val="0A3170"/>
                <w:spacing w:val="10"/>
                <w:sz w:val="19"/>
                <w:szCs w:val="19"/>
              </w:rPr>
              <w:t>LIMBI STRĂINE</w:t>
            </w:r>
          </w:p>
          <w:p w14:paraId="497395BB" w14:textId="77777777" w:rsidR="0054727D" w:rsidRDefault="0099161C">
            <w:r>
              <w:rPr>
                <w:b/>
                <w:bCs/>
                <w:color w:val="0A3170"/>
                <w:sz w:val="16"/>
                <w:szCs w:val="16"/>
              </w:rPr>
              <w:t>Engleză</w:t>
            </w:r>
          </w:p>
          <w:p w14:paraId="72440797" w14:textId="77777777" w:rsidR="0054727D" w:rsidRDefault="0099161C">
            <w:pPr>
              <w:spacing w:after="20"/>
            </w:pPr>
            <w:r>
              <w:rPr>
                <w:color w:val="555555"/>
                <w:sz w:val="15"/>
                <w:szCs w:val="15"/>
              </w:rPr>
              <w:t>C1 (înțelegere, vorbire, scriere)</w:t>
            </w:r>
          </w:p>
          <w:p w14:paraId="36E411D5" w14:textId="77777777" w:rsidR="0054727D" w:rsidRDefault="0099161C">
            <w:pPr>
              <w:spacing w:after="80"/>
            </w:pPr>
            <w:r>
              <w:rPr>
                <w:i/>
                <w:iCs/>
                <w:color w:val="555555"/>
                <w:sz w:val="14"/>
                <w:szCs w:val="14"/>
              </w:rPr>
              <w:t>Cambridge ESOL Level 2 Certificate</w:t>
            </w:r>
          </w:p>
          <w:p w14:paraId="668CFA75" w14:textId="77777777" w:rsidR="0054727D" w:rsidRDefault="0099161C">
            <w:r>
              <w:rPr>
                <w:b/>
                <w:bCs/>
                <w:color w:val="0A3170"/>
                <w:sz w:val="16"/>
                <w:szCs w:val="16"/>
              </w:rPr>
              <w:t>Franceză</w:t>
            </w:r>
          </w:p>
          <w:p w14:paraId="497151CA" w14:textId="77777777" w:rsidR="0054727D" w:rsidRDefault="0099161C">
            <w:pPr>
              <w:spacing w:after="20"/>
            </w:pPr>
            <w:r>
              <w:rPr>
                <w:color w:val="555555"/>
                <w:sz w:val="15"/>
                <w:szCs w:val="15"/>
              </w:rPr>
              <w:t>B2 (înțelegere, vorbire, scriere)</w:t>
            </w:r>
          </w:p>
          <w:p w14:paraId="1B5B92D1" w14:textId="77777777" w:rsidR="0054727D" w:rsidRDefault="0099161C">
            <w:pPr>
              <w:spacing w:after="80"/>
            </w:pPr>
            <w:r>
              <w:rPr>
                <w:i/>
                <w:iCs/>
                <w:color w:val="555555"/>
                <w:sz w:val="14"/>
                <w:szCs w:val="14"/>
              </w:rPr>
              <w:t>Univ. de Vest Timișoara</w:t>
            </w:r>
          </w:p>
          <w:p w14:paraId="231C2D00" w14:textId="77777777" w:rsidR="0054727D" w:rsidRDefault="0099161C">
            <w:pPr>
              <w:pBdr>
                <w:bottom w:val="single" w:sz="6" w:space="4" w:color="0E4194"/>
              </w:pBdr>
              <w:spacing w:before="240" w:after="80"/>
            </w:pPr>
            <w:r>
              <w:rPr>
                <w:b/>
                <w:bCs/>
                <w:color w:val="0A3170"/>
                <w:spacing w:val="10"/>
                <w:sz w:val="19"/>
                <w:szCs w:val="19"/>
              </w:rPr>
              <w:t>COMPETENȚE DIGITALE</w:t>
            </w:r>
          </w:p>
          <w:p w14:paraId="0AF72102" w14:textId="77777777" w:rsidR="0054727D" w:rsidRDefault="0099161C">
            <w:pPr>
              <w:spacing w:after="30"/>
            </w:pPr>
            <w:r>
              <w:rPr>
                <w:sz w:val="16"/>
                <w:szCs w:val="16"/>
              </w:rPr>
              <w:t>•  Procesarea informației</w:t>
            </w:r>
          </w:p>
          <w:p w14:paraId="45BA128F" w14:textId="77777777" w:rsidR="0054727D" w:rsidRDefault="0099161C">
            <w:pPr>
              <w:spacing w:after="30"/>
            </w:pPr>
            <w:r>
              <w:rPr>
                <w:sz w:val="16"/>
                <w:szCs w:val="16"/>
              </w:rPr>
              <w:t>•  Comunicare</w:t>
            </w:r>
          </w:p>
          <w:p w14:paraId="0E66C0B5" w14:textId="77777777" w:rsidR="0054727D" w:rsidRDefault="0099161C">
            <w:pPr>
              <w:spacing w:after="30"/>
            </w:pPr>
            <w:r>
              <w:rPr>
                <w:sz w:val="16"/>
                <w:szCs w:val="16"/>
              </w:rPr>
              <w:t>•  Creare de conținut</w:t>
            </w:r>
          </w:p>
          <w:p w14:paraId="16FBA18B" w14:textId="77777777" w:rsidR="0054727D" w:rsidRDefault="0099161C">
            <w:pPr>
              <w:spacing w:after="30"/>
            </w:pPr>
            <w:r>
              <w:rPr>
                <w:sz w:val="16"/>
                <w:szCs w:val="16"/>
              </w:rPr>
              <w:t>•  Securitate</w:t>
            </w:r>
          </w:p>
          <w:p w14:paraId="4E711767" w14:textId="77777777" w:rsidR="0054727D" w:rsidRDefault="0099161C">
            <w:pPr>
              <w:spacing w:after="20"/>
            </w:pPr>
            <w:r>
              <w:rPr>
                <w:sz w:val="16"/>
                <w:szCs w:val="16"/>
              </w:rPr>
              <w:t>•  Rezolvarea de probleme</w:t>
            </w:r>
          </w:p>
          <w:p w14:paraId="639BB650" w14:textId="77777777" w:rsidR="0054727D" w:rsidRDefault="0099161C">
            <w:pPr>
              <w:spacing w:after="80"/>
            </w:pPr>
            <w:r>
              <w:rPr>
                <w:i/>
                <w:iCs/>
                <w:color w:val="555555"/>
                <w:sz w:val="14"/>
                <w:szCs w:val="14"/>
              </w:rPr>
              <w:t>Nivel: utilizator experimentat</w:t>
            </w:r>
          </w:p>
          <w:p w14:paraId="67AE0A7B" w14:textId="77777777" w:rsidR="0054727D" w:rsidRDefault="0099161C">
            <w:pPr>
              <w:pBdr>
                <w:bottom w:val="single" w:sz="6" w:space="4" w:color="0E4194"/>
              </w:pBdr>
              <w:spacing w:before="240" w:after="80"/>
            </w:pPr>
            <w:r>
              <w:rPr>
                <w:b/>
                <w:bCs/>
                <w:color w:val="0A3170"/>
                <w:spacing w:val="10"/>
                <w:sz w:val="19"/>
                <w:szCs w:val="19"/>
              </w:rPr>
              <w:t>IDENTIFICATORI CERCETARE</w:t>
            </w:r>
          </w:p>
          <w:p w14:paraId="1AD4EE59" w14:textId="77777777" w:rsidR="0054727D" w:rsidRDefault="0099161C">
            <w:r>
              <w:rPr>
                <w:b/>
                <w:bCs/>
                <w:color w:val="0A3170"/>
                <w:sz w:val="14"/>
                <w:szCs w:val="14"/>
              </w:rPr>
              <w:t>Web of Science ResearcherID</w:t>
            </w:r>
          </w:p>
          <w:p w14:paraId="75C881C1" w14:textId="77777777" w:rsidR="0054727D" w:rsidRDefault="00234F3E">
            <w:pPr>
              <w:spacing w:after="80"/>
            </w:pPr>
            <w:hyperlink r:id="rId5" w:history="1">
              <w:r w:rsidR="0099161C">
                <w:rPr>
                  <w:color w:val="0E4194"/>
                  <w:sz w:val="15"/>
                  <w:szCs w:val="15"/>
                  <w:u w:val="single"/>
                </w:rPr>
                <w:t>ABF-6558-2021</w:t>
              </w:r>
            </w:hyperlink>
          </w:p>
        </w:tc>
        <w:tc>
          <w:tcPr>
            <w:tcW w:w="6310" w:type="dxa"/>
            <w:tcMar>
              <w:top w:w="200" w:type="dxa"/>
              <w:left w:w="300" w:type="dxa"/>
              <w:bottom w:w="200" w:type="dxa"/>
              <w:right w:w="120" w:type="dxa"/>
            </w:tcMar>
          </w:tcPr>
          <w:p w14:paraId="2826B683" w14:textId="77777777" w:rsidR="0054727D" w:rsidRDefault="0099161C">
            <w:pPr>
              <w:pBdr>
                <w:bottom w:val="single" w:sz="12" w:space="4" w:color="0E4194"/>
              </w:pBdr>
              <w:spacing w:before="220" w:after="120"/>
            </w:pPr>
            <w:r>
              <w:rPr>
                <w:b/>
                <w:bCs/>
                <w:color w:val="0E4194"/>
                <w:spacing w:val="8"/>
                <w:sz w:val="22"/>
                <w:szCs w:val="22"/>
              </w:rPr>
              <w:t>EXPERIENȚA PROFESIONALĂ</w:t>
            </w:r>
          </w:p>
          <w:p w14:paraId="70347A8E" w14:textId="77777777" w:rsidR="0054727D" w:rsidRDefault="0099161C">
            <w:pPr>
              <w:spacing w:before="60" w:after="10"/>
            </w:pPr>
            <w:r>
              <w:rPr>
                <w:b/>
                <w:bCs/>
                <w:sz w:val="19"/>
                <w:szCs w:val="19"/>
              </w:rPr>
              <w:t>Medic specialist Boli Infecțioase</w:t>
            </w:r>
            <w:r>
              <w:t xml:space="preserve">   </w:t>
            </w:r>
            <w:r>
              <w:rPr>
                <w:b/>
                <w:bCs/>
                <w:color w:val="0E4194"/>
                <w:sz w:val="16"/>
                <w:szCs w:val="16"/>
              </w:rPr>
              <w:t>01.05.2024 – prezent</w:t>
            </w:r>
          </w:p>
          <w:p w14:paraId="284E97EB" w14:textId="77777777" w:rsidR="0054727D" w:rsidRDefault="0099161C">
            <w:pPr>
              <w:spacing w:after="30"/>
            </w:pPr>
            <w:r>
              <w:rPr>
                <w:color w:val="555555"/>
                <w:sz w:val="17"/>
                <w:szCs w:val="17"/>
              </w:rPr>
              <w:t>Secția Boli Infecțioase II, Spitalul Clinic de Boli Infecțioase și Pneumoftiziologie „Victor Babeș", Timișoara</w:t>
            </w:r>
          </w:p>
          <w:p w14:paraId="6A26CF6F" w14:textId="77777777" w:rsidR="0054727D" w:rsidRDefault="0099161C">
            <w:pPr>
              <w:spacing w:before="60" w:after="10"/>
            </w:pPr>
            <w:r>
              <w:rPr>
                <w:b/>
                <w:bCs/>
                <w:sz w:val="19"/>
                <w:szCs w:val="19"/>
              </w:rPr>
              <w:t>Asistent universitar Boli Infecțioase</w:t>
            </w:r>
            <w:r>
              <w:t xml:space="preserve">   </w:t>
            </w:r>
            <w:r>
              <w:rPr>
                <w:b/>
                <w:bCs/>
                <w:color w:val="0E4194"/>
                <w:sz w:val="16"/>
                <w:szCs w:val="16"/>
              </w:rPr>
              <w:t>20.09.2021 – prezent</w:t>
            </w:r>
          </w:p>
          <w:p w14:paraId="6DF0D6F3" w14:textId="77777777" w:rsidR="0054727D" w:rsidRDefault="0099161C">
            <w:pPr>
              <w:spacing w:after="30"/>
            </w:pPr>
            <w:r>
              <w:rPr>
                <w:color w:val="555555"/>
                <w:sz w:val="17"/>
                <w:szCs w:val="17"/>
              </w:rPr>
              <w:t>Clinica Universitară Boli Infecțioase II, Universitatea de Medicină și Farmacie „Victor Babeș", Timișoara</w:t>
            </w:r>
          </w:p>
          <w:p w14:paraId="4B730B42" w14:textId="77777777" w:rsidR="0054727D" w:rsidRDefault="0099161C">
            <w:pPr>
              <w:spacing w:before="60" w:after="10"/>
            </w:pPr>
            <w:r>
              <w:rPr>
                <w:b/>
                <w:bCs/>
                <w:sz w:val="19"/>
                <w:szCs w:val="19"/>
              </w:rPr>
              <w:t>Expert mobilizare și retenție GT partener A2.1</w:t>
            </w:r>
            <w:r>
              <w:t xml:space="preserve">   </w:t>
            </w:r>
            <w:r>
              <w:rPr>
                <w:b/>
                <w:bCs/>
                <w:color w:val="0E4194"/>
                <w:sz w:val="16"/>
                <w:szCs w:val="16"/>
              </w:rPr>
              <w:t>2025 – prezent</w:t>
            </w:r>
          </w:p>
          <w:p w14:paraId="1783BADF" w14:textId="77777777" w:rsidR="0054727D" w:rsidRDefault="0099161C">
            <w:pPr>
              <w:spacing w:after="30"/>
            </w:pPr>
            <w:r>
              <w:rPr>
                <w:color w:val="555555"/>
                <w:sz w:val="17"/>
                <w:szCs w:val="17"/>
              </w:rPr>
              <w:t>Proiect: Victor Babeș Timișoara – Spital și Universitate în parteneriat strategic pentru promovarea angajabilității studenților și absolvenților de studii universitare în domeniul medical, prin programe sustenabile de formare și dezvoltare a competențelor profesionale și transversale: stagii de practică/programe de învățare la locul de muncă, programe de formare/educaționale corelate cu piața muncii.</w:t>
            </w:r>
          </w:p>
          <w:p w14:paraId="33A4B2F6" w14:textId="77777777" w:rsidR="0054727D" w:rsidRDefault="0099161C">
            <w:pPr>
              <w:spacing w:after="30"/>
            </w:pPr>
            <w:r>
              <w:rPr>
                <w:color w:val="555555"/>
                <w:sz w:val="17"/>
                <w:szCs w:val="17"/>
              </w:rPr>
              <w:t>Cod SMIS 313370</w:t>
            </w:r>
          </w:p>
          <w:p w14:paraId="507258D0" w14:textId="77777777" w:rsidR="0054727D" w:rsidRDefault="0099161C">
            <w:pPr>
              <w:spacing w:before="60" w:after="10"/>
            </w:pPr>
            <w:r>
              <w:rPr>
                <w:b/>
                <w:bCs/>
                <w:sz w:val="19"/>
                <w:szCs w:val="19"/>
              </w:rPr>
              <w:t>Cercetător – co-investigator (monitorizare și evaluare)</w:t>
            </w:r>
            <w:r>
              <w:t xml:space="preserve">   </w:t>
            </w:r>
            <w:r>
              <w:rPr>
                <w:b/>
                <w:bCs/>
                <w:color w:val="0E4194"/>
                <w:sz w:val="16"/>
                <w:szCs w:val="16"/>
              </w:rPr>
              <w:t>06.10.2020 – 01.11.2021</w:t>
            </w:r>
          </w:p>
          <w:p w14:paraId="4DC60E69" w14:textId="77777777" w:rsidR="0054727D" w:rsidRDefault="0099161C">
            <w:pPr>
              <w:spacing w:after="30"/>
            </w:pPr>
            <w:r>
              <w:rPr>
                <w:color w:val="555555"/>
                <w:sz w:val="17"/>
                <w:szCs w:val="17"/>
              </w:rPr>
              <w:t>Proiect: Evaluarea eficacității și siguranței utilizării unor protocoale de tratament inovative – ESCADEIP (cod COR 221109)</w:t>
            </w:r>
          </w:p>
          <w:p w14:paraId="4223ACBC" w14:textId="77777777" w:rsidR="0054727D" w:rsidRDefault="0099161C">
            <w:pPr>
              <w:spacing w:before="60" w:after="10"/>
            </w:pPr>
            <w:r>
              <w:rPr>
                <w:b/>
                <w:bCs/>
                <w:sz w:val="19"/>
                <w:szCs w:val="19"/>
              </w:rPr>
              <w:t>Medic rezident Boli Infecțioase</w:t>
            </w:r>
            <w:r>
              <w:t xml:space="preserve">   </w:t>
            </w:r>
            <w:r>
              <w:rPr>
                <w:b/>
                <w:bCs/>
                <w:color w:val="0E4194"/>
                <w:sz w:val="16"/>
                <w:szCs w:val="16"/>
              </w:rPr>
              <w:t>01.01.2019 – 31.12.2023</w:t>
            </w:r>
          </w:p>
          <w:p w14:paraId="6DA672EC" w14:textId="77777777" w:rsidR="0054727D" w:rsidRDefault="0099161C">
            <w:pPr>
              <w:spacing w:after="30"/>
            </w:pPr>
            <w:r>
              <w:rPr>
                <w:color w:val="555555"/>
                <w:sz w:val="17"/>
                <w:szCs w:val="17"/>
              </w:rPr>
              <w:t>Spitalul Municipal Brad (Centru de pregătire Timișoara)</w:t>
            </w:r>
          </w:p>
          <w:p w14:paraId="2593C4A4" w14:textId="77777777" w:rsidR="0054727D" w:rsidRDefault="0099161C">
            <w:pPr>
              <w:pBdr>
                <w:bottom w:val="single" w:sz="12" w:space="4" w:color="0E4194"/>
              </w:pBdr>
              <w:spacing w:before="220" w:after="120"/>
            </w:pPr>
            <w:r>
              <w:rPr>
                <w:b/>
                <w:bCs/>
                <w:color w:val="0E4194"/>
                <w:spacing w:val="8"/>
                <w:sz w:val="22"/>
                <w:szCs w:val="22"/>
              </w:rPr>
              <w:t>EDUCAȚIE ȘI FORMARE</w:t>
            </w:r>
          </w:p>
          <w:p w14:paraId="30EB99A0" w14:textId="77777777" w:rsidR="0054727D" w:rsidRDefault="0099161C">
            <w:pPr>
              <w:spacing w:before="60" w:after="10"/>
            </w:pPr>
            <w:r>
              <w:rPr>
                <w:b/>
                <w:bCs/>
                <w:sz w:val="19"/>
                <w:szCs w:val="19"/>
              </w:rPr>
              <w:t>Atestat de studii complementare în Vaccinologie</w:t>
            </w:r>
            <w:r>
              <w:t xml:space="preserve">   </w:t>
            </w:r>
            <w:r>
              <w:rPr>
                <w:b/>
                <w:bCs/>
                <w:color w:val="0E4194"/>
                <w:sz w:val="16"/>
                <w:szCs w:val="16"/>
              </w:rPr>
              <w:t>2025</w:t>
            </w:r>
          </w:p>
          <w:p w14:paraId="597164FE" w14:textId="77777777" w:rsidR="0054727D" w:rsidRDefault="0099161C">
            <w:pPr>
              <w:spacing w:after="30"/>
            </w:pPr>
            <w:r>
              <w:rPr>
                <w:color w:val="555555"/>
                <w:sz w:val="17"/>
                <w:szCs w:val="17"/>
              </w:rPr>
              <w:t>Seria C Nr. 062384</w:t>
            </w:r>
          </w:p>
          <w:p w14:paraId="6E3C4441" w14:textId="77777777" w:rsidR="0054727D" w:rsidRDefault="0099161C">
            <w:pPr>
              <w:spacing w:before="60" w:after="10"/>
            </w:pPr>
            <w:r>
              <w:rPr>
                <w:b/>
                <w:bCs/>
                <w:sz w:val="19"/>
                <w:szCs w:val="19"/>
              </w:rPr>
              <w:t>Doctor în domeniul Medicină</w:t>
            </w:r>
            <w:r>
              <w:t xml:space="preserve">   </w:t>
            </w:r>
            <w:r>
              <w:rPr>
                <w:b/>
                <w:bCs/>
                <w:color w:val="0E4194"/>
                <w:sz w:val="16"/>
                <w:szCs w:val="16"/>
              </w:rPr>
              <w:t>30.04.2024</w:t>
            </w:r>
          </w:p>
          <w:p w14:paraId="1913659B" w14:textId="77777777" w:rsidR="0054727D" w:rsidRDefault="0099161C">
            <w:pPr>
              <w:spacing w:after="30"/>
            </w:pPr>
            <w:r>
              <w:rPr>
                <w:color w:val="555555"/>
                <w:sz w:val="17"/>
                <w:szCs w:val="17"/>
              </w:rPr>
              <w:t>În baza Ordinului Ministrului Educației nr. 4355 din 30.04.2024</w:t>
            </w:r>
          </w:p>
          <w:p w14:paraId="182DA5AE" w14:textId="77777777" w:rsidR="0054727D" w:rsidRDefault="0099161C">
            <w:pPr>
              <w:spacing w:after="30"/>
            </w:pPr>
            <w:r>
              <w:rPr>
                <w:color w:val="555555"/>
                <w:sz w:val="17"/>
                <w:szCs w:val="17"/>
              </w:rPr>
              <w:t>Titlul tezei: „Biomarkeri cu rol predictiv în infecția cu SARS-CoV-2. Aspecte clinice și medico-legale."</w:t>
            </w:r>
          </w:p>
          <w:p w14:paraId="2A39CACC" w14:textId="77777777" w:rsidR="0054727D" w:rsidRDefault="0099161C">
            <w:pPr>
              <w:spacing w:before="60" w:after="10"/>
            </w:pPr>
            <w:r>
              <w:rPr>
                <w:b/>
                <w:bCs/>
                <w:sz w:val="19"/>
                <w:szCs w:val="19"/>
              </w:rPr>
              <w:t>Medic specialist</w:t>
            </w:r>
            <w:r>
              <w:t xml:space="preserve">   </w:t>
            </w:r>
            <w:r>
              <w:rPr>
                <w:b/>
                <w:bCs/>
                <w:color w:val="0E4194"/>
                <w:sz w:val="16"/>
                <w:szCs w:val="16"/>
              </w:rPr>
              <w:t>29.01.2024</w:t>
            </w:r>
          </w:p>
          <w:p w14:paraId="0625ABA3" w14:textId="77777777" w:rsidR="0054727D" w:rsidRDefault="0099161C">
            <w:pPr>
              <w:spacing w:after="30"/>
            </w:pPr>
            <w:r>
              <w:rPr>
                <w:color w:val="555555"/>
                <w:sz w:val="17"/>
                <w:szCs w:val="17"/>
              </w:rPr>
              <w:t>În baza Ordinului Ministrului Sănătății nr. 54334 din 29.01.2024</w:t>
            </w:r>
          </w:p>
          <w:p w14:paraId="6E36302E" w14:textId="77777777" w:rsidR="0054727D" w:rsidRDefault="0099161C">
            <w:pPr>
              <w:spacing w:before="60" w:after="10"/>
            </w:pPr>
            <w:r>
              <w:rPr>
                <w:b/>
                <w:bCs/>
                <w:sz w:val="19"/>
                <w:szCs w:val="19"/>
              </w:rPr>
              <w:t>Program de formare psihopedagogică, Nivelul II</w:t>
            </w:r>
            <w:r>
              <w:t xml:space="preserve">   </w:t>
            </w:r>
            <w:r>
              <w:rPr>
                <w:b/>
                <w:bCs/>
                <w:color w:val="0E4194"/>
                <w:sz w:val="16"/>
                <w:szCs w:val="16"/>
              </w:rPr>
              <w:t>06.07.2022</w:t>
            </w:r>
          </w:p>
          <w:p w14:paraId="2FE335BF" w14:textId="77777777" w:rsidR="0054727D" w:rsidRDefault="0099161C">
            <w:pPr>
              <w:spacing w:after="30"/>
            </w:pPr>
            <w:r>
              <w:rPr>
                <w:color w:val="555555"/>
                <w:sz w:val="17"/>
                <w:szCs w:val="17"/>
              </w:rPr>
              <w:t>Diplomă Seria Ah Nr. 0026053, Universitatea de Vest Timișoara</w:t>
            </w:r>
          </w:p>
          <w:p w14:paraId="3A919C8E" w14:textId="77777777" w:rsidR="0054727D" w:rsidRDefault="0099161C">
            <w:pPr>
              <w:spacing w:before="60" w:after="10"/>
            </w:pPr>
            <w:r>
              <w:rPr>
                <w:b/>
                <w:bCs/>
                <w:sz w:val="19"/>
                <w:szCs w:val="19"/>
              </w:rPr>
              <w:t>Program de formare psihopedagogică, Nivelul I</w:t>
            </w:r>
            <w:r>
              <w:t xml:space="preserve">   </w:t>
            </w:r>
            <w:r>
              <w:rPr>
                <w:b/>
                <w:bCs/>
                <w:color w:val="0E4194"/>
                <w:sz w:val="16"/>
                <w:szCs w:val="16"/>
              </w:rPr>
              <w:t>17.01.2022</w:t>
            </w:r>
          </w:p>
          <w:p w14:paraId="7F2FC7F4" w14:textId="77777777" w:rsidR="0054727D" w:rsidRDefault="0099161C">
            <w:pPr>
              <w:spacing w:after="30"/>
            </w:pPr>
            <w:r>
              <w:rPr>
                <w:color w:val="555555"/>
                <w:sz w:val="17"/>
                <w:szCs w:val="17"/>
              </w:rPr>
              <w:t>Diplomă Seria Ah Nr. 0026052, Universitatea de Vest Timișoara</w:t>
            </w:r>
          </w:p>
          <w:p w14:paraId="6716C9B5" w14:textId="77777777" w:rsidR="0054727D" w:rsidRDefault="0099161C">
            <w:pPr>
              <w:spacing w:before="60" w:after="10"/>
            </w:pPr>
            <w:r>
              <w:rPr>
                <w:b/>
                <w:bCs/>
                <w:sz w:val="19"/>
                <w:szCs w:val="19"/>
              </w:rPr>
              <w:t>Diplomă de licență și master – Doctor-medic</w:t>
            </w:r>
            <w:r>
              <w:t xml:space="preserve">   </w:t>
            </w:r>
            <w:r>
              <w:rPr>
                <w:b/>
                <w:bCs/>
                <w:color w:val="0E4194"/>
                <w:sz w:val="16"/>
                <w:szCs w:val="16"/>
              </w:rPr>
              <w:t>01.10.2012 – 10.07.2018</w:t>
            </w:r>
          </w:p>
          <w:p w14:paraId="70451E82" w14:textId="77777777" w:rsidR="0054727D" w:rsidRDefault="0099161C">
            <w:pPr>
              <w:spacing w:after="30"/>
            </w:pPr>
            <w:r>
              <w:rPr>
                <w:color w:val="555555"/>
                <w:sz w:val="17"/>
                <w:szCs w:val="17"/>
              </w:rPr>
              <w:t>Universitatea de Medicină și Farmacie „Victor Babeș", Timișoara — Seria LM Nr. 0007727</w:t>
            </w:r>
          </w:p>
          <w:p w14:paraId="26B067CD" w14:textId="77777777" w:rsidR="0054727D" w:rsidRPr="006A2161" w:rsidRDefault="0099161C">
            <w:pPr>
              <w:spacing w:before="60" w:after="10"/>
              <w:rPr>
                <w:lang w:val="fr-FR"/>
              </w:rPr>
            </w:pPr>
            <w:r w:rsidRPr="006A2161">
              <w:rPr>
                <w:b/>
                <w:bCs/>
                <w:sz w:val="19"/>
                <w:szCs w:val="19"/>
                <w:lang w:val="fr-FR"/>
              </w:rPr>
              <w:t>IFMSA SCOPE – stagiu de obstetrică și ginecologie</w:t>
            </w:r>
            <w:r w:rsidRPr="006A2161">
              <w:rPr>
                <w:lang w:val="fr-FR"/>
              </w:rPr>
              <w:t xml:space="preserve">   </w:t>
            </w:r>
            <w:r w:rsidRPr="006A2161">
              <w:rPr>
                <w:b/>
                <w:bCs/>
                <w:color w:val="0E4194"/>
                <w:sz w:val="16"/>
                <w:szCs w:val="16"/>
                <w:lang w:val="fr-FR"/>
              </w:rPr>
              <w:t>06.08.2017 – 04.09.2017</w:t>
            </w:r>
          </w:p>
          <w:p w14:paraId="588ADFA4" w14:textId="77777777" w:rsidR="0054727D" w:rsidRDefault="0099161C">
            <w:pPr>
              <w:spacing w:after="30"/>
            </w:pPr>
            <w:r>
              <w:rPr>
                <w:color w:val="555555"/>
                <w:sz w:val="17"/>
                <w:szCs w:val="17"/>
              </w:rPr>
              <w:t>Universidad Dr. Jose Matias Delgado, El Salvador</w:t>
            </w:r>
          </w:p>
          <w:p w14:paraId="62B26AF2" w14:textId="77777777" w:rsidR="0054727D" w:rsidRPr="006A2161" w:rsidRDefault="0099161C">
            <w:pPr>
              <w:spacing w:before="60" w:after="10"/>
              <w:rPr>
                <w:lang w:val="fr-FR"/>
              </w:rPr>
            </w:pPr>
            <w:r w:rsidRPr="006A2161">
              <w:rPr>
                <w:b/>
                <w:bCs/>
                <w:sz w:val="19"/>
                <w:szCs w:val="19"/>
                <w:lang w:val="fr-FR"/>
              </w:rPr>
              <w:t>IFMSA SCOPE – stagiu de chirurgie generală</w:t>
            </w:r>
            <w:r w:rsidRPr="006A2161">
              <w:rPr>
                <w:lang w:val="fr-FR"/>
              </w:rPr>
              <w:t xml:space="preserve">   </w:t>
            </w:r>
            <w:r w:rsidRPr="006A2161">
              <w:rPr>
                <w:b/>
                <w:bCs/>
                <w:color w:val="0E4194"/>
                <w:sz w:val="16"/>
                <w:szCs w:val="16"/>
                <w:lang w:val="fr-FR"/>
              </w:rPr>
              <w:t>01.08.2014 – 30.08.2014</w:t>
            </w:r>
          </w:p>
          <w:p w14:paraId="71BDB3FB" w14:textId="77777777" w:rsidR="0054727D" w:rsidRDefault="0099161C">
            <w:pPr>
              <w:spacing w:after="30"/>
            </w:pPr>
            <w:r>
              <w:rPr>
                <w:color w:val="555555"/>
                <w:sz w:val="17"/>
                <w:szCs w:val="17"/>
              </w:rPr>
              <w:t>Kasr Al-Ainy Teaching Hospital, Egipt</w:t>
            </w:r>
          </w:p>
          <w:p w14:paraId="15AE9DDF" w14:textId="77777777" w:rsidR="0054727D" w:rsidRDefault="0099161C">
            <w:pPr>
              <w:spacing w:before="60" w:after="10"/>
            </w:pPr>
            <w:r>
              <w:rPr>
                <w:b/>
                <w:bCs/>
                <w:sz w:val="19"/>
                <w:szCs w:val="19"/>
              </w:rPr>
              <w:t>Diplomă de bacalaureat</w:t>
            </w:r>
            <w:r>
              <w:t xml:space="preserve">   </w:t>
            </w:r>
            <w:r>
              <w:rPr>
                <w:b/>
                <w:bCs/>
                <w:color w:val="0E4194"/>
                <w:sz w:val="16"/>
                <w:szCs w:val="16"/>
              </w:rPr>
              <w:t>15.09.2008 – 10.06.2012</w:t>
            </w:r>
          </w:p>
          <w:p w14:paraId="66EB26E3" w14:textId="77777777" w:rsidR="0054727D" w:rsidRDefault="0099161C">
            <w:pPr>
              <w:spacing w:after="30"/>
            </w:pPr>
            <w:r>
              <w:rPr>
                <w:color w:val="555555"/>
                <w:sz w:val="17"/>
                <w:szCs w:val="17"/>
              </w:rPr>
              <w:t>Grup Școlar Industrial „Ioan Buteanu" Gurahonț, profil Real, Matematică-Informatică — Seria Y Nr. 0390834</w:t>
            </w:r>
          </w:p>
          <w:p w14:paraId="663FB91D" w14:textId="77777777" w:rsidR="0054727D" w:rsidRDefault="0099161C">
            <w:pPr>
              <w:pBdr>
                <w:bottom w:val="single" w:sz="12" w:space="4" w:color="0E4194"/>
              </w:pBdr>
              <w:spacing w:before="220" w:after="120"/>
            </w:pPr>
            <w:r>
              <w:rPr>
                <w:b/>
                <w:bCs/>
                <w:color w:val="0E4194"/>
                <w:spacing w:val="8"/>
                <w:sz w:val="22"/>
                <w:szCs w:val="22"/>
              </w:rPr>
              <w:t>PUBLICAȚII</w:t>
            </w:r>
          </w:p>
          <w:p w14:paraId="35AD87E5" w14:textId="77777777" w:rsidR="0054727D" w:rsidRDefault="0099161C">
            <w:pPr>
              <w:spacing w:after="140"/>
            </w:pPr>
            <w:r>
              <w:rPr>
                <w:i/>
                <w:iCs/>
                <w:color w:val="555555"/>
                <w:sz w:val="16"/>
                <w:szCs w:val="16"/>
              </w:rPr>
              <w:t xml:space="preserve">Lucrări indexate Web of Science Core Collection — profil ResearcherID </w:t>
            </w:r>
            <w:hyperlink r:id="rId6" w:history="1">
              <w:r>
                <w:rPr>
                  <w:i/>
                  <w:iCs/>
                  <w:color w:val="0E4194"/>
                  <w:sz w:val="16"/>
                  <w:szCs w:val="16"/>
                  <w:u w:val="single"/>
                </w:rPr>
                <w:t>ABF-6558-2021</w:t>
              </w:r>
            </w:hyperlink>
            <w:r>
              <w:rPr>
                <w:i/>
                <w:iCs/>
                <w:color w:val="555555"/>
                <w:sz w:val="16"/>
                <w:szCs w:val="16"/>
              </w:rPr>
              <w:t xml:space="preserve"> (52 documente indexate; h-index 13; 550 citări).</w:t>
            </w:r>
          </w:p>
          <w:p w14:paraId="5D43276B" w14:textId="77777777" w:rsidR="0054727D" w:rsidRDefault="0099161C">
            <w:pPr>
              <w:spacing w:after="120"/>
              <w:ind w:left="260" w:hanging="260"/>
              <w:jc w:val="both"/>
            </w:pPr>
            <w:r>
              <w:rPr>
                <w:b/>
                <w:bCs/>
                <w:color w:val="0E4194"/>
                <w:sz w:val="16"/>
                <w:szCs w:val="16"/>
              </w:rPr>
              <w:t xml:space="preserve">1.  </w:t>
            </w:r>
            <w:r>
              <w:rPr>
                <w:sz w:val="16"/>
                <w:szCs w:val="16"/>
              </w:rPr>
              <w:t xml:space="preserve">Condoiu, C.; Baloi, A.; Sandesc, D.; Cumpanas, A.A.; Latcu, S.; Dema, V.; Caprariu, R.; Barb, A.C.; Ciucurita, A.; Marinescu, A.; Cut, T.G.; Bardan, R. </w:t>
            </w:r>
            <w:r>
              <w:rPr>
                <w:b/>
                <w:bCs/>
                <w:sz w:val="16"/>
                <w:szCs w:val="16"/>
              </w:rPr>
              <w:t xml:space="preserve">Clinically Significant ISUP Upgrading in the Multiparametric MRI Era: Biopsy Tumor Burden Outperforms Complex Machine Learning Models in a Single-Center Exploratory Cohort. </w:t>
            </w:r>
            <w:r>
              <w:rPr>
                <w:i/>
                <w:iCs/>
                <w:color w:val="555555"/>
                <w:sz w:val="16"/>
                <w:szCs w:val="16"/>
              </w:rPr>
              <w:t xml:space="preserve">Cancers 2026, 18 (5), 730. </w:t>
            </w:r>
            <w:hyperlink r:id="rId7" w:history="1">
              <w:r>
                <w:rPr>
                  <w:color w:val="0E4194"/>
                  <w:sz w:val="16"/>
                  <w:szCs w:val="16"/>
                  <w:u w:val="single"/>
                </w:rPr>
                <w:t>https://doi.org/10.3390/cancers18050730</w:t>
              </w:r>
            </w:hyperlink>
          </w:p>
          <w:p w14:paraId="744C1BCB" w14:textId="77777777" w:rsidR="0054727D" w:rsidRDefault="0099161C">
            <w:pPr>
              <w:spacing w:after="120"/>
              <w:ind w:left="260" w:hanging="260"/>
              <w:jc w:val="both"/>
            </w:pPr>
            <w:r>
              <w:rPr>
                <w:b/>
                <w:bCs/>
                <w:color w:val="0E4194"/>
                <w:sz w:val="16"/>
                <w:szCs w:val="16"/>
              </w:rPr>
              <w:t xml:space="preserve">2.  </w:t>
            </w:r>
            <w:r>
              <w:rPr>
                <w:sz w:val="16"/>
                <w:szCs w:val="16"/>
              </w:rPr>
              <w:t xml:space="preserve">Baloi, A.; Sandesc, D.; Cut, T.G.; Caprariu, R.; Novacescu, D.; Dumitru, C.S.; Barb, A.C.; Dumache, R.; Banov, P.; Birlutiu, V.; Lazureanu, V.E.; Zara, F. </w:t>
            </w:r>
            <w:r>
              <w:rPr>
                <w:b/>
                <w:bCs/>
                <w:sz w:val="16"/>
                <w:szCs w:val="16"/>
              </w:rPr>
              <w:t xml:space="preserve">Predicting Hungry Bone Syndrome with Interpretable Machine Learning: A Single-Center Cohort of Dialysis Patients. </w:t>
            </w:r>
            <w:r>
              <w:rPr>
                <w:i/>
                <w:iCs/>
                <w:color w:val="555555"/>
                <w:sz w:val="16"/>
                <w:szCs w:val="16"/>
              </w:rPr>
              <w:t xml:space="preserve">Diagnostics 2026, 16 (10), 1469. </w:t>
            </w:r>
            <w:hyperlink r:id="rId8" w:history="1">
              <w:r>
                <w:rPr>
                  <w:color w:val="0E4194"/>
                  <w:sz w:val="16"/>
                  <w:szCs w:val="16"/>
                  <w:u w:val="single"/>
                </w:rPr>
                <w:t>https://doi.org/10.3390/diagnostics16101469</w:t>
              </w:r>
            </w:hyperlink>
          </w:p>
          <w:p w14:paraId="26D3387A" w14:textId="77777777" w:rsidR="0054727D" w:rsidRDefault="0099161C">
            <w:pPr>
              <w:spacing w:after="120"/>
              <w:ind w:left="260" w:hanging="260"/>
              <w:jc w:val="both"/>
            </w:pPr>
            <w:r>
              <w:rPr>
                <w:b/>
                <w:bCs/>
                <w:color w:val="0E4194"/>
                <w:sz w:val="16"/>
                <w:szCs w:val="16"/>
              </w:rPr>
              <w:lastRenderedPageBreak/>
              <w:t xml:space="preserve">3.  </w:t>
            </w:r>
            <w:r>
              <w:rPr>
                <w:sz w:val="16"/>
                <w:szCs w:val="16"/>
              </w:rPr>
              <w:t xml:space="preserve">Luput-Andrica, I.M.; Marinescu, A.R.; Cut, T.G.; Herlo, A.; Laza, R.; Saizu, A.E.; Floruncut, A.C.; Nicolescu, N.; Jumanca, R.; Rosoha, D.I.; Lazureanu, V.E. </w:t>
            </w:r>
            <w:r>
              <w:rPr>
                <w:b/>
                <w:bCs/>
                <w:sz w:val="16"/>
                <w:szCs w:val="16"/>
              </w:rPr>
              <w:t xml:space="preserve">Premature Skeletal Aging and Immunological Recovery in Romanian PLWH: A Cross-Sectional Analysis of Gender-Specific and Metabolic Risk Factors. </w:t>
            </w:r>
            <w:r>
              <w:rPr>
                <w:i/>
                <w:iCs/>
                <w:color w:val="555555"/>
                <w:sz w:val="16"/>
                <w:szCs w:val="16"/>
              </w:rPr>
              <w:t xml:space="preserve">International Journal of Molecular Sciences 2026, 27 (9), 4079. </w:t>
            </w:r>
            <w:hyperlink r:id="rId9" w:history="1">
              <w:r>
                <w:rPr>
                  <w:color w:val="0E4194"/>
                  <w:sz w:val="16"/>
                  <w:szCs w:val="16"/>
                  <w:u w:val="single"/>
                </w:rPr>
                <w:t>https://doi.org/10.3390/ijms27094079</w:t>
              </w:r>
            </w:hyperlink>
          </w:p>
          <w:p w14:paraId="102A725F" w14:textId="77777777" w:rsidR="0054727D" w:rsidRDefault="0099161C">
            <w:pPr>
              <w:spacing w:after="120"/>
              <w:ind w:left="260" w:hanging="260"/>
              <w:jc w:val="both"/>
            </w:pPr>
            <w:r>
              <w:rPr>
                <w:b/>
                <w:bCs/>
                <w:color w:val="0E4194"/>
                <w:sz w:val="16"/>
                <w:szCs w:val="16"/>
              </w:rPr>
              <w:t xml:space="preserve">4.  </w:t>
            </w:r>
            <w:r>
              <w:rPr>
                <w:sz w:val="16"/>
                <w:szCs w:val="16"/>
              </w:rPr>
              <w:t xml:space="preserve">Crisan, D.N.; Cut, T.G.; Herlo, A.; Deacu, S.; Herlo, L.F.; Ivanovic, N.; Neculai-Candea, L.S.; Twakor, A.N.; Țapoș, G.F.; Dumache, R. </w:t>
            </w:r>
            <w:r>
              <w:rPr>
                <w:b/>
                <w:bCs/>
                <w:sz w:val="16"/>
                <w:szCs w:val="16"/>
              </w:rPr>
              <w:t xml:space="preserve">Risk Stratification in Pulmonary Embolism: Prognostic Value of PESI, WELLS, PADUA, and IMPROVE Scores in Relation to Laboratory Markers. </w:t>
            </w:r>
            <w:r>
              <w:rPr>
                <w:i/>
                <w:iCs/>
                <w:color w:val="555555"/>
                <w:sz w:val="16"/>
                <w:szCs w:val="16"/>
              </w:rPr>
              <w:t xml:space="preserve">Journal of Clinical Medicine 2026, 15 (8), 3141. </w:t>
            </w:r>
            <w:hyperlink r:id="rId10" w:history="1">
              <w:r>
                <w:rPr>
                  <w:color w:val="0E4194"/>
                  <w:sz w:val="16"/>
                  <w:szCs w:val="16"/>
                  <w:u w:val="single"/>
                </w:rPr>
                <w:t>https://doi.org/10.3390/jcm15083141</w:t>
              </w:r>
            </w:hyperlink>
          </w:p>
          <w:p w14:paraId="47725604" w14:textId="77777777" w:rsidR="0054727D" w:rsidRDefault="0099161C">
            <w:pPr>
              <w:spacing w:after="120"/>
              <w:ind w:left="260" w:hanging="260"/>
              <w:jc w:val="both"/>
            </w:pPr>
            <w:r>
              <w:rPr>
                <w:b/>
                <w:bCs/>
                <w:color w:val="0E4194"/>
                <w:sz w:val="16"/>
                <w:szCs w:val="16"/>
              </w:rPr>
              <w:t xml:space="preserve">5.  </w:t>
            </w:r>
            <w:r>
              <w:rPr>
                <w:sz w:val="16"/>
                <w:szCs w:val="16"/>
              </w:rPr>
              <w:t xml:space="preserve">Laza, R.; Luput-Andrica, I.M.; Marinescu, A.R.; Cut, T.G.; Herlo, A.; Saizu, A.E.; Floruncut, A.C.; Nicolescu, N.; Jumanca, R.; Rosoha, D.I.; Lazureanu, V.E.; Ana-Maria, R. </w:t>
            </w:r>
            <w:r>
              <w:rPr>
                <w:b/>
                <w:bCs/>
                <w:sz w:val="16"/>
                <w:szCs w:val="16"/>
              </w:rPr>
              <w:t xml:space="preserve">Clinical Predictors and Pathogen Resistance Dynamics in Hospitalized Patients with Urinary Tract Infections: A 2025 Institutional Study. </w:t>
            </w:r>
            <w:r>
              <w:rPr>
                <w:i/>
                <w:iCs/>
                <w:color w:val="555555"/>
                <w:sz w:val="16"/>
                <w:szCs w:val="16"/>
              </w:rPr>
              <w:t xml:space="preserve">Microorganisms 2026, 14 (4), 916. </w:t>
            </w:r>
            <w:hyperlink r:id="rId11" w:history="1">
              <w:r>
                <w:rPr>
                  <w:color w:val="0E4194"/>
                  <w:sz w:val="16"/>
                  <w:szCs w:val="16"/>
                  <w:u w:val="single"/>
                </w:rPr>
                <w:t>https://doi.org/10.3390/microorganisms14040916</w:t>
              </w:r>
            </w:hyperlink>
          </w:p>
          <w:p w14:paraId="085AB771" w14:textId="77777777" w:rsidR="0054727D" w:rsidRDefault="0099161C">
            <w:pPr>
              <w:spacing w:after="120"/>
              <w:ind w:left="260" w:hanging="260"/>
              <w:jc w:val="both"/>
            </w:pPr>
            <w:r>
              <w:rPr>
                <w:b/>
                <w:bCs/>
                <w:color w:val="0E4194"/>
                <w:sz w:val="16"/>
                <w:szCs w:val="16"/>
              </w:rPr>
              <w:t xml:space="preserve">6.  </w:t>
            </w:r>
            <w:r>
              <w:rPr>
                <w:sz w:val="16"/>
                <w:szCs w:val="16"/>
              </w:rPr>
              <w:t xml:space="preserve">Novacescu, D.; Baloi, A.; Latcu, S.; Zara, F.; Sandesc, D.; Dumitru, C.S.; Condoiu, C.; Bardan, R.; Dema, V.; Caprariu, R.; Cut, T.G.; Cumpanas, A. </w:t>
            </w:r>
            <w:r>
              <w:rPr>
                <w:b/>
                <w:bCs/>
                <w:sz w:val="16"/>
                <w:szCs w:val="16"/>
              </w:rPr>
              <w:t xml:space="preserve">Open Surgical Management of Renal Cell Carcinoma with Infradiaphragmatic Venous Tumor Thrombus (Mayo Levels 0–III): The Epitome of Surgical Self-Reliance in Urology. </w:t>
            </w:r>
            <w:r>
              <w:rPr>
                <w:i/>
                <w:iCs/>
                <w:color w:val="555555"/>
                <w:sz w:val="16"/>
                <w:szCs w:val="16"/>
              </w:rPr>
              <w:t xml:space="preserve">Cancers 2026, 18 (7), 1080. </w:t>
            </w:r>
            <w:hyperlink r:id="rId12" w:history="1">
              <w:r>
                <w:rPr>
                  <w:color w:val="0E4194"/>
                  <w:sz w:val="16"/>
                  <w:szCs w:val="16"/>
                  <w:u w:val="single"/>
                </w:rPr>
                <w:t>https://doi.org/10.3390/cancers18071080</w:t>
              </w:r>
            </w:hyperlink>
          </w:p>
          <w:p w14:paraId="1B3C1151" w14:textId="77777777" w:rsidR="0054727D" w:rsidRDefault="0099161C">
            <w:pPr>
              <w:spacing w:after="120"/>
              <w:ind w:left="260" w:hanging="260"/>
              <w:jc w:val="both"/>
            </w:pPr>
            <w:r>
              <w:rPr>
                <w:b/>
                <w:bCs/>
                <w:color w:val="0E4194"/>
                <w:sz w:val="16"/>
                <w:szCs w:val="16"/>
              </w:rPr>
              <w:t xml:space="preserve">7.  </w:t>
            </w:r>
            <w:r>
              <w:rPr>
                <w:sz w:val="16"/>
                <w:szCs w:val="16"/>
              </w:rPr>
              <w:t xml:space="preserve">Crisan, D.N.; Cut, T.G.; Herlo, L.F.; Ivanovic, N.; Herlo, A.; Alexandrescu, L.; Sălcudean, A.; Dumache, R. </w:t>
            </w:r>
            <w:r>
              <w:rPr>
                <w:b/>
                <w:bCs/>
                <w:sz w:val="16"/>
                <w:szCs w:val="16"/>
              </w:rPr>
              <w:t xml:space="preserve">Artificial Intelligence in Venous Thromboembolism Prevention: A Narrative Review of Machine Learning, Deep Learning, and Natural Language Processing. </w:t>
            </w:r>
            <w:r>
              <w:rPr>
                <w:i/>
                <w:iCs/>
                <w:color w:val="555555"/>
                <w:sz w:val="16"/>
                <w:szCs w:val="16"/>
              </w:rPr>
              <w:t xml:space="preserve">Journal of Cardiovascular Development and Disease 2026, 13 (3), 119. </w:t>
            </w:r>
            <w:hyperlink r:id="rId13" w:history="1">
              <w:r>
                <w:rPr>
                  <w:color w:val="0E4194"/>
                  <w:sz w:val="16"/>
                  <w:szCs w:val="16"/>
                  <w:u w:val="single"/>
                </w:rPr>
                <w:t>https://doi.org/10.3390/jcdd13030119</w:t>
              </w:r>
            </w:hyperlink>
          </w:p>
          <w:p w14:paraId="6A710ACB" w14:textId="77777777" w:rsidR="0054727D" w:rsidRDefault="0099161C">
            <w:pPr>
              <w:spacing w:after="120"/>
              <w:ind w:left="260" w:hanging="260"/>
              <w:jc w:val="both"/>
            </w:pPr>
            <w:r>
              <w:rPr>
                <w:b/>
                <w:bCs/>
                <w:color w:val="0E4194"/>
                <w:sz w:val="16"/>
                <w:szCs w:val="16"/>
              </w:rPr>
              <w:t xml:space="preserve">8.  </w:t>
            </w:r>
            <w:r>
              <w:rPr>
                <w:sz w:val="16"/>
                <w:szCs w:val="16"/>
              </w:rPr>
              <w:t xml:space="preserve">Novacescu, D.; Cut, T.G.; Baloi, A.; Herlo, A.; Luput-Andrica, I.M.; Saizu, A.E.; Uzum, A.; Mot, M.D.; Zara, F.; Sandesc, D.; Lazureanu, V.E.; Marinescu, A. </w:t>
            </w:r>
            <w:r>
              <w:rPr>
                <w:b/>
                <w:bCs/>
                <w:sz w:val="16"/>
                <w:szCs w:val="16"/>
              </w:rPr>
              <w:t xml:space="preserve">Gut Microbiome Recovery in Clostridioides difficile Infection Patients Receiving Multi-Strain Probiotics During Convalescence: A Prospective Pilot Series of Longitudinal Dynamics. </w:t>
            </w:r>
            <w:r>
              <w:rPr>
                <w:i/>
                <w:iCs/>
                <w:color w:val="555555"/>
                <w:sz w:val="16"/>
                <w:szCs w:val="16"/>
              </w:rPr>
              <w:t xml:space="preserve">Diseases 2026, 14 (2), 77. </w:t>
            </w:r>
            <w:hyperlink r:id="rId14" w:history="1">
              <w:r>
                <w:rPr>
                  <w:color w:val="0E4194"/>
                  <w:sz w:val="16"/>
                  <w:szCs w:val="16"/>
                  <w:u w:val="single"/>
                </w:rPr>
                <w:t>https://doi.org/10.3390/diseases14020077</w:t>
              </w:r>
            </w:hyperlink>
          </w:p>
          <w:p w14:paraId="0DB7FAB2" w14:textId="77777777" w:rsidR="0054727D" w:rsidRDefault="0099161C">
            <w:pPr>
              <w:spacing w:after="120"/>
              <w:ind w:left="260" w:hanging="260"/>
              <w:jc w:val="both"/>
            </w:pPr>
            <w:r>
              <w:rPr>
                <w:b/>
                <w:bCs/>
                <w:color w:val="0E4194"/>
                <w:sz w:val="16"/>
                <w:szCs w:val="16"/>
              </w:rPr>
              <w:t xml:space="preserve">9.  </w:t>
            </w:r>
            <w:r>
              <w:rPr>
                <w:sz w:val="16"/>
                <w:szCs w:val="16"/>
              </w:rPr>
              <w:t xml:space="preserve">Nesiu, A.; Novacescu, D.; Latcu, S.; Bardan, R.; Cumpanas, A.; Zara, F.; Buciu, V.; Caprariu, R.; Cut, T.G.; Stana, A.H. </w:t>
            </w:r>
            <w:r>
              <w:rPr>
                <w:b/>
                <w:bCs/>
                <w:sz w:val="16"/>
                <w:szCs w:val="16"/>
              </w:rPr>
              <w:t xml:space="preserve">Diagnostic Performance and Interobserver Agreement of the Vesical Imaging-Reporting and Data System (VI-RADS). </w:t>
            </w:r>
            <w:r>
              <w:rPr>
                <w:i/>
                <w:iCs/>
                <w:color w:val="555555"/>
                <w:sz w:val="16"/>
                <w:szCs w:val="16"/>
              </w:rPr>
              <w:t xml:space="preserve">Medicina 2025, 61 (3), 469. </w:t>
            </w:r>
            <w:hyperlink r:id="rId15" w:history="1">
              <w:r>
                <w:rPr>
                  <w:color w:val="0E4194"/>
                  <w:sz w:val="16"/>
                  <w:szCs w:val="16"/>
                  <w:u w:val="single"/>
                </w:rPr>
                <w:t>https://doi.org/10.3390/medicina61030469</w:t>
              </w:r>
            </w:hyperlink>
          </w:p>
          <w:p w14:paraId="6619362F" w14:textId="77777777" w:rsidR="0054727D" w:rsidRDefault="0099161C">
            <w:pPr>
              <w:spacing w:after="120"/>
              <w:ind w:left="260" w:hanging="260"/>
              <w:jc w:val="both"/>
            </w:pPr>
            <w:r>
              <w:rPr>
                <w:b/>
                <w:bCs/>
                <w:color w:val="0E4194"/>
                <w:sz w:val="16"/>
                <w:szCs w:val="16"/>
              </w:rPr>
              <w:t xml:space="preserve">10.  </w:t>
            </w:r>
            <w:r>
              <w:rPr>
                <w:sz w:val="16"/>
                <w:szCs w:val="16"/>
              </w:rPr>
              <w:t xml:space="preserve">Pasecinic, V.; Novacescu, D.; Zara, F.; Dumitru, C.S.; Dema, V.; Latcu, S.; Bardan, R.; Cumpanas, A.A.; Dumache, R.; Cut, T.G.; Ismail, H.; Stana, A.H. </w:t>
            </w:r>
            <w:r>
              <w:rPr>
                <w:b/>
                <w:bCs/>
                <w:sz w:val="16"/>
                <w:szCs w:val="16"/>
              </w:rPr>
              <w:t xml:space="preserve">Predictors of ISUP Grade Group Discrepancies Between Biopsy and Radical Prostatectomy: A Single-Center Analysis of Clinical, Imaging, and Histopathological Parameters. </w:t>
            </w:r>
            <w:r>
              <w:rPr>
                <w:i/>
                <w:iCs/>
                <w:color w:val="555555"/>
                <w:sz w:val="16"/>
                <w:szCs w:val="16"/>
              </w:rPr>
              <w:t xml:space="preserve">Cancers 2025, 17 (15), 2595. </w:t>
            </w:r>
            <w:hyperlink r:id="rId16" w:history="1">
              <w:r>
                <w:rPr>
                  <w:color w:val="0E4194"/>
                  <w:sz w:val="16"/>
                  <w:szCs w:val="16"/>
                  <w:u w:val="single"/>
                </w:rPr>
                <w:t>https://doi.org/10.3390/cancers17152595</w:t>
              </w:r>
            </w:hyperlink>
          </w:p>
          <w:p w14:paraId="704099C4" w14:textId="77777777" w:rsidR="0054727D" w:rsidRDefault="0099161C">
            <w:pPr>
              <w:spacing w:after="120"/>
              <w:ind w:left="260" w:hanging="260"/>
              <w:jc w:val="both"/>
            </w:pPr>
            <w:r>
              <w:rPr>
                <w:b/>
                <w:bCs/>
                <w:color w:val="0E4194"/>
                <w:sz w:val="16"/>
                <w:szCs w:val="16"/>
              </w:rPr>
              <w:t xml:space="preserve">11.  </w:t>
            </w:r>
            <w:r>
              <w:rPr>
                <w:sz w:val="16"/>
                <w:szCs w:val="16"/>
              </w:rPr>
              <w:t xml:space="preserve">Dumache, R.; Muresan, C.O.; Laitin, S.M.D.; Ivanovic, N.; Chisalita, A.; Herlo, A.; Marinescu, A.; Lazureanu, E.V.; Cut, T.G. </w:t>
            </w:r>
            <w:r>
              <w:rPr>
                <w:b/>
                <w:bCs/>
                <w:sz w:val="16"/>
                <w:szCs w:val="16"/>
              </w:rPr>
              <w:t xml:space="preserve">COVID-19 Organ Injury Pathology and D-Dimer Expression Patterns. </w:t>
            </w:r>
            <w:r>
              <w:rPr>
                <w:i/>
                <w:iCs/>
                <w:color w:val="555555"/>
                <w:sz w:val="16"/>
                <w:szCs w:val="16"/>
              </w:rPr>
              <w:t xml:space="preserve">Diagnostics 2025, 15 (15), 1860. </w:t>
            </w:r>
            <w:hyperlink r:id="rId17" w:history="1">
              <w:r>
                <w:rPr>
                  <w:color w:val="0E4194"/>
                  <w:sz w:val="16"/>
                  <w:szCs w:val="16"/>
                  <w:u w:val="single"/>
                </w:rPr>
                <w:t>https://doi.org/10.3390/diagnostics15151860</w:t>
              </w:r>
            </w:hyperlink>
          </w:p>
          <w:p w14:paraId="7957D53B" w14:textId="77777777" w:rsidR="0054727D" w:rsidRDefault="0099161C">
            <w:pPr>
              <w:spacing w:after="120"/>
              <w:ind w:left="260" w:hanging="260"/>
              <w:jc w:val="both"/>
            </w:pPr>
            <w:r>
              <w:rPr>
                <w:b/>
                <w:bCs/>
                <w:color w:val="0E4194"/>
                <w:sz w:val="16"/>
                <w:szCs w:val="16"/>
              </w:rPr>
              <w:t xml:space="preserve">12.  </w:t>
            </w:r>
            <w:r>
              <w:rPr>
                <w:sz w:val="16"/>
                <w:szCs w:val="16"/>
              </w:rPr>
              <w:t xml:space="preserve">Herlo, A.; Marinescu, A.R.; Cut, T.G.; Laza, R.; Marza, A.M.; Virzob, C.R.B.; Oancea, C.I.; Herlo, L.F.; Luput-Andrica, I.M.; Lazureanu, V.E. </w:t>
            </w:r>
            <w:r>
              <w:rPr>
                <w:b/>
                <w:bCs/>
                <w:sz w:val="16"/>
                <w:szCs w:val="16"/>
              </w:rPr>
              <w:t xml:space="preserve">Pulmonary embolism in COVID-19: Trends from a single-center study across ten pandemic waves in Romania. </w:t>
            </w:r>
            <w:r>
              <w:rPr>
                <w:i/>
                <w:iCs/>
                <w:color w:val="555555"/>
                <w:sz w:val="16"/>
                <w:szCs w:val="16"/>
              </w:rPr>
              <w:t xml:space="preserve">Microorganisms 2025, 13 (7), 1634. </w:t>
            </w:r>
            <w:hyperlink r:id="rId18" w:history="1">
              <w:r>
                <w:rPr>
                  <w:color w:val="0E4194"/>
                  <w:sz w:val="16"/>
                  <w:szCs w:val="16"/>
                  <w:u w:val="single"/>
                </w:rPr>
                <w:t>https://doi.org/10.3390/microorganisms13071634</w:t>
              </w:r>
            </w:hyperlink>
          </w:p>
          <w:p w14:paraId="399C4154" w14:textId="77777777" w:rsidR="0054727D" w:rsidRDefault="0099161C">
            <w:pPr>
              <w:spacing w:after="120"/>
              <w:ind w:left="260" w:hanging="260"/>
              <w:jc w:val="both"/>
            </w:pPr>
            <w:r>
              <w:rPr>
                <w:b/>
                <w:bCs/>
                <w:color w:val="0E4194"/>
                <w:sz w:val="16"/>
                <w:szCs w:val="16"/>
              </w:rPr>
              <w:t xml:space="preserve">13.  </w:t>
            </w:r>
            <w:r>
              <w:rPr>
                <w:sz w:val="16"/>
                <w:szCs w:val="16"/>
              </w:rPr>
              <w:t xml:space="preserve">Bertici, N.S.; Cut, T.G.; Ridichie, A.; Manzur, A.R.; Bertici, R.A. </w:t>
            </w:r>
            <w:r>
              <w:rPr>
                <w:b/>
                <w:bCs/>
                <w:sz w:val="16"/>
                <w:szCs w:val="16"/>
              </w:rPr>
              <w:t xml:space="preserve">Paradoxical Use of Benralizumab in Reactive Hypereosinophilia from Toxocariasis and Tuberculosis Co-Infection—Case Report and Literature Review. </w:t>
            </w:r>
            <w:r>
              <w:rPr>
                <w:i/>
                <w:iCs/>
                <w:color w:val="555555"/>
                <w:sz w:val="16"/>
                <w:szCs w:val="16"/>
              </w:rPr>
              <w:t xml:space="preserve">International Journal of Molecular Sciences 2025, 26 (17), 8117. </w:t>
            </w:r>
            <w:hyperlink r:id="rId19" w:history="1">
              <w:r>
                <w:rPr>
                  <w:color w:val="0E4194"/>
                  <w:sz w:val="16"/>
                  <w:szCs w:val="16"/>
                  <w:u w:val="single"/>
                </w:rPr>
                <w:t>https://doi.org/10.3390/ijms26178117</w:t>
              </w:r>
            </w:hyperlink>
          </w:p>
          <w:p w14:paraId="3A8307F6" w14:textId="77777777" w:rsidR="0054727D" w:rsidRDefault="0099161C">
            <w:pPr>
              <w:spacing w:after="120"/>
              <w:ind w:left="260" w:hanging="260"/>
              <w:jc w:val="both"/>
            </w:pPr>
            <w:r>
              <w:rPr>
                <w:b/>
                <w:bCs/>
                <w:color w:val="0E4194"/>
                <w:sz w:val="16"/>
                <w:szCs w:val="16"/>
              </w:rPr>
              <w:t xml:space="preserve">14.  </w:t>
            </w:r>
            <w:r>
              <w:rPr>
                <w:sz w:val="16"/>
                <w:szCs w:val="16"/>
              </w:rPr>
              <w:t xml:space="preserve">Luput-Andrica, I.M.; Marinescu, A.R.; Cut, T.G.; Herlo, A.; Herlo, L.F.; Saizu, A.E.; Laza, R.; Lustrea, A.; Floruncut, A.C.; Chisalita, A.; Nicolescu, N.; Oancea, C.I.; Manolescu, D.; Jumanca, R.; Rosoha, D.I.; Lazureanu, V.E. </w:t>
            </w:r>
            <w:r>
              <w:rPr>
                <w:b/>
                <w:bCs/>
                <w:sz w:val="16"/>
                <w:szCs w:val="16"/>
              </w:rPr>
              <w:t xml:space="preserve">Evaluation of Bone Mineral Density and Related Factors in Romanian HIV-Positive Patients Undergoing Antiretroviral Therapy. </w:t>
            </w:r>
            <w:r>
              <w:rPr>
                <w:i/>
                <w:iCs/>
                <w:color w:val="555555"/>
                <w:sz w:val="16"/>
                <w:szCs w:val="16"/>
              </w:rPr>
              <w:t xml:space="preserve">Microorganisms 2025, 13 (8), 1768. </w:t>
            </w:r>
            <w:hyperlink r:id="rId20" w:history="1">
              <w:r>
                <w:rPr>
                  <w:color w:val="0E4194"/>
                  <w:sz w:val="16"/>
                  <w:szCs w:val="16"/>
                  <w:u w:val="single"/>
                </w:rPr>
                <w:t>https://doi.org/10.3390/microorganisms13081768</w:t>
              </w:r>
            </w:hyperlink>
          </w:p>
          <w:p w14:paraId="4FD5370B" w14:textId="77777777" w:rsidR="0054727D" w:rsidRDefault="0099161C">
            <w:pPr>
              <w:spacing w:after="120"/>
              <w:ind w:left="260" w:hanging="260"/>
              <w:jc w:val="both"/>
            </w:pPr>
            <w:r>
              <w:rPr>
                <w:b/>
                <w:bCs/>
                <w:color w:val="0E4194"/>
                <w:sz w:val="16"/>
                <w:szCs w:val="16"/>
              </w:rPr>
              <w:t xml:space="preserve">15.  </w:t>
            </w:r>
            <w:r>
              <w:rPr>
                <w:sz w:val="16"/>
                <w:szCs w:val="16"/>
              </w:rPr>
              <w:t xml:space="preserve">Herlo, L.F.; Creţu, O.M.; Herlo, A.; Dejeu, D.; Dobrin, A.R.; Marinescu, A.R.; Cut, T.G.; Virzob, C.R.B.; Dan, R.G.; Dumache, R. </w:t>
            </w:r>
            <w:r>
              <w:rPr>
                <w:b/>
                <w:bCs/>
                <w:sz w:val="16"/>
                <w:szCs w:val="16"/>
              </w:rPr>
              <w:t xml:space="preserve">Metabolic Multimorbidity and Acute Obstructive Presentation in Colon Cancer: A 677-Patient Hospital-Based Cohort. </w:t>
            </w:r>
            <w:r>
              <w:rPr>
                <w:i/>
                <w:iCs/>
                <w:color w:val="555555"/>
                <w:sz w:val="16"/>
                <w:szCs w:val="16"/>
              </w:rPr>
              <w:t xml:space="preserve">Journal of Clinical Medicine 2025, 15 (1), 38. </w:t>
            </w:r>
            <w:hyperlink r:id="rId21" w:history="1">
              <w:r>
                <w:rPr>
                  <w:color w:val="0E4194"/>
                  <w:sz w:val="16"/>
                  <w:szCs w:val="16"/>
                  <w:u w:val="single"/>
                </w:rPr>
                <w:t>https://doi.org/10.3390/jcm15010038</w:t>
              </w:r>
            </w:hyperlink>
          </w:p>
          <w:p w14:paraId="41AD7032" w14:textId="77777777" w:rsidR="0054727D" w:rsidRDefault="0099161C">
            <w:pPr>
              <w:spacing w:after="120"/>
              <w:ind w:left="260" w:hanging="260"/>
              <w:jc w:val="both"/>
            </w:pPr>
            <w:r>
              <w:rPr>
                <w:b/>
                <w:bCs/>
                <w:color w:val="0E4194"/>
                <w:sz w:val="16"/>
                <w:szCs w:val="16"/>
              </w:rPr>
              <w:t xml:space="preserve">16.  </w:t>
            </w:r>
            <w:r>
              <w:rPr>
                <w:sz w:val="16"/>
                <w:szCs w:val="16"/>
              </w:rPr>
              <w:t xml:space="preserve">Vornic, I.; Buciu, V.; Furau, C.G.; Gaje, P.N.; Ceausu, R.A.; Dumitru, C.S.; Barb, A.C.; Novacescu, D.; Cumpanas, A.A.; Latcu, S.C.; Cut, T.G.; Zara, F. </w:t>
            </w:r>
            <w:r>
              <w:rPr>
                <w:b/>
                <w:bCs/>
                <w:sz w:val="16"/>
                <w:szCs w:val="16"/>
              </w:rPr>
              <w:t xml:space="preserve">Oxidative stress and placental pathogenesis: a contemporary overview of potential biomarkers and emerging therapeutics. </w:t>
            </w:r>
            <w:r>
              <w:rPr>
                <w:i/>
                <w:iCs/>
                <w:color w:val="555555"/>
                <w:sz w:val="16"/>
                <w:szCs w:val="16"/>
              </w:rPr>
              <w:t xml:space="preserve">International Journal of Molecular Sciences 2024, 25 (22), 12195. </w:t>
            </w:r>
            <w:hyperlink r:id="rId22" w:history="1">
              <w:r>
                <w:rPr>
                  <w:color w:val="0E4194"/>
                  <w:sz w:val="16"/>
                  <w:szCs w:val="16"/>
                  <w:u w:val="single"/>
                </w:rPr>
                <w:t>https://doi.org/10.3390/ijms252212195</w:t>
              </w:r>
            </w:hyperlink>
          </w:p>
          <w:p w14:paraId="35B607C7" w14:textId="77777777" w:rsidR="0054727D" w:rsidRDefault="0099161C">
            <w:pPr>
              <w:spacing w:after="120"/>
              <w:ind w:left="260" w:hanging="260"/>
              <w:jc w:val="both"/>
            </w:pPr>
            <w:r>
              <w:rPr>
                <w:b/>
                <w:bCs/>
                <w:color w:val="0E4194"/>
                <w:sz w:val="16"/>
                <w:szCs w:val="16"/>
              </w:rPr>
              <w:t xml:space="preserve">17.  </w:t>
            </w:r>
            <w:r>
              <w:rPr>
                <w:sz w:val="16"/>
                <w:szCs w:val="16"/>
              </w:rPr>
              <w:t xml:space="preserve">Vornic, I.; Buciu, V.; Furau, C.G.; Zara, F.; Novacescu, D.; Barb, A.C.; Cumpanas, A.A.; Latcu, S.C.; Sas, I.; Serban, D.; Cut, T.G.; Dumitru, C.S. </w:t>
            </w:r>
            <w:r>
              <w:rPr>
                <w:b/>
                <w:bCs/>
                <w:sz w:val="16"/>
                <w:szCs w:val="16"/>
              </w:rPr>
              <w:t xml:space="preserve">The interplay of molecular factors and morphology in human placental development and implantation. </w:t>
            </w:r>
            <w:r>
              <w:rPr>
                <w:i/>
                <w:iCs/>
                <w:color w:val="555555"/>
                <w:sz w:val="16"/>
                <w:szCs w:val="16"/>
              </w:rPr>
              <w:t xml:space="preserve">Biomedicines 2024, 12 (12), 2908. </w:t>
            </w:r>
            <w:hyperlink r:id="rId23" w:history="1">
              <w:r>
                <w:rPr>
                  <w:color w:val="0E4194"/>
                  <w:sz w:val="16"/>
                  <w:szCs w:val="16"/>
                  <w:u w:val="single"/>
                </w:rPr>
                <w:t>https://doi.org/10.3390/biomedicines12122908</w:t>
              </w:r>
            </w:hyperlink>
          </w:p>
          <w:p w14:paraId="2355406D" w14:textId="77777777" w:rsidR="0054727D" w:rsidRDefault="0099161C">
            <w:pPr>
              <w:spacing w:after="120"/>
              <w:ind w:left="260" w:hanging="260"/>
              <w:jc w:val="both"/>
            </w:pPr>
            <w:r>
              <w:rPr>
                <w:b/>
                <w:bCs/>
                <w:color w:val="0E4194"/>
                <w:sz w:val="16"/>
                <w:szCs w:val="16"/>
              </w:rPr>
              <w:lastRenderedPageBreak/>
              <w:t xml:space="preserve">18.  </w:t>
            </w:r>
            <w:r>
              <w:rPr>
                <w:sz w:val="16"/>
                <w:szCs w:val="16"/>
              </w:rPr>
              <w:t xml:space="preserve">Novacescu, D.; Latcu, S.C.; Raica, M.; Baderca, F.; Dumitru, C.S.; Daminescu, L.; Bardan, R.; Dema, V.; Croitor, A.; Cut, T.G.; Cumpanas, A.A. </w:t>
            </w:r>
            <w:r>
              <w:rPr>
                <w:b/>
                <w:bCs/>
                <w:sz w:val="16"/>
                <w:szCs w:val="16"/>
              </w:rPr>
              <w:t xml:space="preserve">Surgical strategies for renal transplantation: a pictorial essay. </w:t>
            </w:r>
            <w:r>
              <w:rPr>
                <w:i/>
                <w:iCs/>
                <w:color w:val="555555"/>
                <w:sz w:val="16"/>
                <w:szCs w:val="16"/>
              </w:rPr>
              <w:t xml:space="preserve">Journal of Clinical Medicine 2024, 13 (14), 4188. </w:t>
            </w:r>
            <w:hyperlink r:id="rId24" w:history="1">
              <w:r>
                <w:rPr>
                  <w:color w:val="0E4194"/>
                  <w:sz w:val="16"/>
                  <w:szCs w:val="16"/>
                  <w:u w:val="single"/>
                </w:rPr>
                <w:t>https://doi.org/10.3390/jcm13144188</w:t>
              </w:r>
            </w:hyperlink>
          </w:p>
          <w:p w14:paraId="189554FD" w14:textId="77777777" w:rsidR="0054727D" w:rsidRDefault="0099161C">
            <w:pPr>
              <w:spacing w:after="120"/>
              <w:ind w:left="260" w:hanging="260"/>
              <w:jc w:val="both"/>
            </w:pPr>
            <w:r>
              <w:rPr>
                <w:b/>
                <w:bCs/>
                <w:color w:val="0E4194"/>
                <w:sz w:val="16"/>
                <w:szCs w:val="16"/>
              </w:rPr>
              <w:t xml:space="preserve">19.  </w:t>
            </w:r>
            <w:r>
              <w:rPr>
                <w:sz w:val="16"/>
                <w:szCs w:val="16"/>
              </w:rPr>
              <w:t xml:space="preserve">Feciche, B.O.; Barbos, V.; Big, A.; Porav-Hodade, D.; Cumpanas, A.A.; Latcu, S.C.; Zara, F.; Barb, A.C.; Dumitru, C.S.; Cut, T.G.; Ismail, H.; Novacescu, D. </w:t>
            </w:r>
            <w:r>
              <w:rPr>
                <w:b/>
                <w:bCs/>
                <w:sz w:val="16"/>
                <w:szCs w:val="16"/>
              </w:rPr>
              <w:t xml:space="preserve">Posterior retroperitoneal laparoscopic adrenalectomy: an anatomical essay and surgical update. </w:t>
            </w:r>
            <w:r>
              <w:rPr>
                <w:i/>
                <w:iCs/>
                <w:color w:val="555555"/>
                <w:sz w:val="16"/>
                <w:szCs w:val="16"/>
              </w:rPr>
              <w:t xml:space="preserve">Cancers 2024, 16 (22), 3841. </w:t>
            </w:r>
            <w:hyperlink r:id="rId25" w:history="1">
              <w:r>
                <w:rPr>
                  <w:color w:val="0E4194"/>
                  <w:sz w:val="16"/>
                  <w:szCs w:val="16"/>
                  <w:u w:val="single"/>
                </w:rPr>
                <w:t>https://doi.org/10.3390/cancers16223841</w:t>
              </w:r>
            </w:hyperlink>
          </w:p>
          <w:p w14:paraId="33EA3B03" w14:textId="77777777" w:rsidR="0054727D" w:rsidRDefault="0099161C">
            <w:pPr>
              <w:spacing w:after="120"/>
              <w:ind w:left="260" w:hanging="260"/>
              <w:jc w:val="both"/>
            </w:pPr>
            <w:r>
              <w:rPr>
                <w:b/>
                <w:bCs/>
                <w:color w:val="0E4194"/>
                <w:sz w:val="16"/>
                <w:szCs w:val="16"/>
              </w:rPr>
              <w:t xml:space="preserve">20.  </w:t>
            </w:r>
            <w:r>
              <w:rPr>
                <w:sz w:val="16"/>
                <w:szCs w:val="16"/>
              </w:rPr>
              <w:t xml:space="preserve">Latcu, S.C.; Bardan, R.; Cumpanas, A.A.; Barbos, V.; Baderca, F.; Gaje, P.N.; Ceausu, R.A.; Comsa, S.; Dumitru, C.S.; Dumache, R.; Cut, T.G.; Lazureanu, V.E.; Petrica, L. </w:t>
            </w:r>
            <w:r>
              <w:rPr>
                <w:b/>
                <w:bCs/>
                <w:sz w:val="16"/>
                <w:szCs w:val="16"/>
              </w:rPr>
              <w:t xml:space="preserve">Immunotherapy Applications for Thymine Dimers and WT1 Antigen in Renal Cancers: A Comparative Statistical Analysis. </w:t>
            </w:r>
            <w:r>
              <w:rPr>
                <w:i/>
                <w:iCs/>
                <w:color w:val="555555"/>
                <w:sz w:val="16"/>
                <w:szCs w:val="16"/>
              </w:rPr>
              <w:t xml:space="preserve">Journal of Personalized Medicine 2024, 14 (6), 557. </w:t>
            </w:r>
            <w:hyperlink r:id="rId26" w:history="1">
              <w:r>
                <w:rPr>
                  <w:color w:val="0E4194"/>
                  <w:sz w:val="16"/>
                  <w:szCs w:val="16"/>
                  <w:u w:val="single"/>
                </w:rPr>
                <w:t>https://doi.org/10.3390/jpm14060557</w:t>
              </w:r>
            </w:hyperlink>
          </w:p>
          <w:p w14:paraId="3BE6B868" w14:textId="77777777" w:rsidR="0054727D" w:rsidRDefault="0099161C">
            <w:pPr>
              <w:spacing w:after="120"/>
              <w:ind w:left="260" w:hanging="260"/>
              <w:jc w:val="both"/>
            </w:pPr>
            <w:r>
              <w:rPr>
                <w:b/>
                <w:bCs/>
                <w:color w:val="0E4194"/>
                <w:sz w:val="16"/>
                <w:szCs w:val="16"/>
              </w:rPr>
              <w:t xml:space="preserve">21.  </w:t>
            </w:r>
            <w:r>
              <w:rPr>
                <w:sz w:val="16"/>
                <w:szCs w:val="16"/>
              </w:rPr>
              <w:t xml:space="preserve">Herlo, A.; Marinescu, A.R.; Cut, T.G.; Laza, R.; Oancea, C.I.; Manolescu, D.; Hogea, E.; Porosnicu, T.M.; Sincaru, S.V.; Dumache, R.; Ispas, S.; Nelson Twakor, A.; Nicolae, M.; Lazureanu, V.E. </w:t>
            </w:r>
            <w:r>
              <w:rPr>
                <w:b/>
                <w:bCs/>
                <w:sz w:val="16"/>
                <w:szCs w:val="16"/>
              </w:rPr>
              <w:t xml:space="preserve">Risk Factors for Pulmonary Embolism in Individuals Infected with SARS-CoV2—A Single-Centre Retrospective Study. </w:t>
            </w:r>
            <w:r>
              <w:rPr>
                <w:i/>
                <w:iCs/>
                <w:color w:val="555555"/>
                <w:sz w:val="16"/>
                <w:szCs w:val="16"/>
              </w:rPr>
              <w:t xml:space="preserve">Biomedicines 2024, 12 (4), 774. </w:t>
            </w:r>
            <w:hyperlink r:id="rId27" w:history="1">
              <w:r>
                <w:rPr>
                  <w:color w:val="0E4194"/>
                  <w:sz w:val="16"/>
                  <w:szCs w:val="16"/>
                  <w:u w:val="single"/>
                </w:rPr>
                <w:t>https://doi.org/10.3390/biomedicines12040774</w:t>
              </w:r>
            </w:hyperlink>
          </w:p>
          <w:p w14:paraId="1D3D5137" w14:textId="77777777" w:rsidR="0054727D" w:rsidRDefault="0099161C">
            <w:pPr>
              <w:spacing w:after="120"/>
              <w:ind w:left="260" w:hanging="260"/>
              <w:jc w:val="both"/>
            </w:pPr>
            <w:r>
              <w:rPr>
                <w:b/>
                <w:bCs/>
                <w:color w:val="0E4194"/>
                <w:sz w:val="16"/>
                <w:szCs w:val="16"/>
              </w:rPr>
              <w:t xml:space="preserve">22.  </w:t>
            </w:r>
            <w:r>
              <w:rPr>
                <w:sz w:val="16"/>
                <w:szCs w:val="16"/>
              </w:rPr>
              <w:t xml:space="preserve">Latcu, S.C.; Cumpanas, A.A.; Barbos, V.; Buciu, V.B.; Raica, M.; Baderca, F.; Gaje, P.N.; Ceausu, R.A.; Dumitru, C.S.; Novacescu, D.; Cut, T.G.; Petrica, L. </w:t>
            </w:r>
            <w:r>
              <w:rPr>
                <w:b/>
                <w:bCs/>
                <w:sz w:val="16"/>
                <w:szCs w:val="16"/>
              </w:rPr>
              <w:t xml:space="preserve">Clinical Tools for Optimizing Therapeutic Decision-Making in Prostate Cancer: A Five-Year Retrospective Study. </w:t>
            </w:r>
            <w:r>
              <w:rPr>
                <w:i/>
                <w:iCs/>
                <w:color w:val="555555"/>
                <w:sz w:val="16"/>
                <w:szCs w:val="16"/>
              </w:rPr>
              <w:t xml:space="preserve">Life 2024, 14 (7), 838. </w:t>
            </w:r>
            <w:hyperlink r:id="rId28" w:history="1">
              <w:r>
                <w:rPr>
                  <w:color w:val="0E4194"/>
                  <w:sz w:val="16"/>
                  <w:szCs w:val="16"/>
                  <w:u w:val="single"/>
                </w:rPr>
                <w:t>https://doi.org/10.3390/life14070838</w:t>
              </w:r>
            </w:hyperlink>
          </w:p>
          <w:p w14:paraId="54615FE1" w14:textId="77777777" w:rsidR="0054727D" w:rsidRDefault="0099161C">
            <w:pPr>
              <w:spacing w:after="120"/>
              <w:ind w:left="260" w:hanging="260"/>
              <w:jc w:val="both"/>
            </w:pPr>
            <w:r>
              <w:rPr>
                <w:b/>
                <w:bCs/>
                <w:color w:val="0E4194"/>
                <w:sz w:val="16"/>
                <w:szCs w:val="16"/>
              </w:rPr>
              <w:t xml:space="preserve">23.  </w:t>
            </w:r>
            <w:r>
              <w:rPr>
                <w:sz w:val="16"/>
                <w:szCs w:val="16"/>
              </w:rPr>
              <w:t xml:space="preserve">Cut, T.G.; Mavrea, A.; Cumpanas, A.A.; Novacescu, D.; Oancea, C.I.; Bratosin, F.; Marinescu, A.R.; Laza, R.; Mocanu, A.; Pescariu, A.S.; Manolescu, D.; Dumache, R.; Enache, A.; Hogea, E.; Lazureanu, V.E. </w:t>
            </w:r>
            <w:r>
              <w:rPr>
                <w:b/>
                <w:bCs/>
                <w:sz w:val="16"/>
                <w:szCs w:val="16"/>
              </w:rPr>
              <w:t xml:space="preserve">A retrospective assessment of sputum samples and antimicrobial resistance in COVID-19 patients. </w:t>
            </w:r>
            <w:r>
              <w:rPr>
                <w:i/>
                <w:iCs/>
                <w:color w:val="555555"/>
                <w:sz w:val="16"/>
                <w:szCs w:val="16"/>
              </w:rPr>
              <w:t xml:space="preserve">Pathogens 2023, 12 (4), 620. </w:t>
            </w:r>
            <w:hyperlink r:id="rId29" w:history="1">
              <w:r>
                <w:rPr>
                  <w:color w:val="0E4194"/>
                  <w:sz w:val="16"/>
                  <w:szCs w:val="16"/>
                  <w:u w:val="single"/>
                </w:rPr>
                <w:t>https://doi.org/10.3390/pathogens12040620</w:t>
              </w:r>
            </w:hyperlink>
          </w:p>
          <w:p w14:paraId="36A81DB8" w14:textId="77777777" w:rsidR="0054727D" w:rsidRDefault="0099161C">
            <w:pPr>
              <w:spacing w:after="120"/>
              <w:ind w:left="260" w:hanging="260"/>
              <w:jc w:val="both"/>
            </w:pPr>
            <w:r>
              <w:rPr>
                <w:b/>
                <w:bCs/>
                <w:color w:val="0E4194"/>
                <w:sz w:val="16"/>
                <w:szCs w:val="16"/>
              </w:rPr>
              <w:t xml:space="preserve">24.  </w:t>
            </w:r>
            <w:r>
              <w:rPr>
                <w:sz w:val="16"/>
                <w:szCs w:val="16"/>
              </w:rPr>
              <w:t xml:space="preserve">Latcu, S.C.; Novacescu, D.; Buciu, V.B.; Dumitru, C.S.; Ceausu, R.A.; Raica, M.; Cut, T.G.; Ilina, R.; Malita, D.C.; Tarta, C.; Cumpanas, A.A. </w:t>
            </w:r>
            <w:r>
              <w:rPr>
                <w:b/>
                <w:bCs/>
                <w:sz w:val="16"/>
                <w:szCs w:val="16"/>
              </w:rPr>
              <w:t xml:space="preserve">The cavernous nerve injury rat model: a pictorial essay on post-radical prostatectomy erectile dysfunction research. </w:t>
            </w:r>
            <w:r>
              <w:rPr>
                <w:i/>
                <w:iCs/>
                <w:color w:val="555555"/>
                <w:sz w:val="16"/>
                <w:szCs w:val="16"/>
              </w:rPr>
              <w:t xml:space="preserve">Life 2023, 13 (12), 2337. </w:t>
            </w:r>
            <w:hyperlink r:id="rId30" w:history="1">
              <w:r>
                <w:rPr>
                  <w:color w:val="0E4194"/>
                  <w:sz w:val="16"/>
                  <w:szCs w:val="16"/>
                  <w:u w:val="single"/>
                </w:rPr>
                <w:t>https://doi.org/10.3390/life13122337</w:t>
              </w:r>
            </w:hyperlink>
          </w:p>
          <w:p w14:paraId="6A88F3A8" w14:textId="77777777" w:rsidR="0054727D" w:rsidRDefault="0099161C">
            <w:pPr>
              <w:spacing w:after="120"/>
              <w:ind w:left="260" w:hanging="260"/>
              <w:jc w:val="both"/>
            </w:pPr>
            <w:r>
              <w:rPr>
                <w:b/>
                <w:bCs/>
                <w:color w:val="0E4194"/>
                <w:sz w:val="16"/>
                <w:szCs w:val="16"/>
              </w:rPr>
              <w:t xml:space="preserve">25.  </w:t>
            </w:r>
            <w:r>
              <w:rPr>
                <w:sz w:val="16"/>
                <w:szCs w:val="16"/>
              </w:rPr>
              <w:t xml:space="preserve">Mocanu, A.; Lazureanu, V.E.; Laza, R.; Marinescu, A.R.; Cut, T.G.; Sincaru, S.V.; Marza, A.M.; Popescu, I.M.; Herlo, L.F.; Nelson-Twakor, A.; Rivis, M.; Bratosinand, F.; Porosnicu, T.M.; Mederle, A.O. </w:t>
            </w:r>
            <w:r>
              <w:rPr>
                <w:b/>
                <w:bCs/>
                <w:sz w:val="16"/>
                <w:szCs w:val="16"/>
              </w:rPr>
              <w:t xml:space="preserve">Laboratory findings and clinical outcomes of ICU-admitted COVID-19 patients: A retrospective assessment of particularities identified among Romanian minorities. </w:t>
            </w:r>
            <w:r>
              <w:rPr>
                <w:i/>
                <w:iCs/>
                <w:color w:val="555555"/>
                <w:sz w:val="16"/>
                <w:szCs w:val="16"/>
              </w:rPr>
              <w:t xml:space="preserve">Journal of Personalized Medicine 2023, 13 (2), 195. </w:t>
            </w:r>
            <w:hyperlink r:id="rId31" w:history="1">
              <w:r>
                <w:rPr>
                  <w:color w:val="0E4194"/>
                  <w:sz w:val="16"/>
                  <w:szCs w:val="16"/>
                  <w:u w:val="single"/>
                </w:rPr>
                <w:t>https://doi.org/10.3390/jpm13020195</w:t>
              </w:r>
            </w:hyperlink>
          </w:p>
          <w:p w14:paraId="22F86FBD" w14:textId="77777777" w:rsidR="0054727D" w:rsidRDefault="0099161C">
            <w:pPr>
              <w:spacing w:after="120"/>
              <w:ind w:left="260" w:hanging="260"/>
              <w:jc w:val="both"/>
            </w:pPr>
            <w:r>
              <w:rPr>
                <w:b/>
                <w:bCs/>
                <w:color w:val="0E4194"/>
                <w:sz w:val="16"/>
                <w:szCs w:val="16"/>
              </w:rPr>
              <w:t xml:space="preserve">26.  </w:t>
            </w:r>
            <w:r>
              <w:rPr>
                <w:sz w:val="16"/>
                <w:szCs w:val="16"/>
              </w:rPr>
              <w:t xml:space="preserve">Laza, R.; Lustrea, A.; Lazureanu, V.E.; Marinescu, A.R.; Nicolescu, N.; Herlo, A.; Cut, T.G.; Porosnicu, T.M.; Papava, I.; Romosan, R.S.; Romosan, A.M.; Bondrescu, M.; Dimeny, C.Z.; Nica-Bacaiteanu, C.B.; Andor, M.; Dehelean, L. </w:t>
            </w:r>
            <w:r>
              <w:rPr>
                <w:b/>
                <w:bCs/>
                <w:sz w:val="16"/>
                <w:szCs w:val="16"/>
              </w:rPr>
              <w:t xml:space="preserve">Untangling the professional web: understanding the impact of work-related factors on the mental health of healthcare professionals during the late stages of Covid-19 pandemic. </w:t>
            </w:r>
            <w:r>
              <w:rPr>
                <w:i/>
                <w:iCs/>
                <w:color w:val="555555"/>
                <w:sz w:val="16"/>
                <w:szCs w:val="16"/>
              </w:rPr>
              <w:t xml:space="preserve">Journal of Multidisciplinary Healthcare 2023, Volume 16, 2391-2404. </w:t>
            </w:r>
            <w:hyperlink r:id="rId32" w:history="1">
              <w:r>
                <w:rPr>
                  <w:color w:val="0E4194"/>
                  <w:sz w:val="16"/>
                  <w:szCs w:val="16"/>
                  <w:u w:val="single"/>
                </w:rPr>
                <w:t>https://doi.org/10.2147/JMDH.S424563</w:t>
              </w:r>
            </w:hyperlink>
          </w:p>
          <w:p w14:paraId="2FE37B3B" w14:textId="77777777" w:rsidR="0054727D" w:rsidRDefault="0099161C">
            <w:pPr>
              <w:spacing w:after="120"/>
              <w:ind w:left="260" w:hanging="260"/>
              <w:jc w:val="both"/>
            </w:pPr>
            <w:r>
              <w:rPr>
                <w:b/>
                <w:bCs/>
                <w:color w:val="0E4194"/>
                <w:sz w:val="16"/>
                <w:szCs w:val="16"/>
              </w:rPr>
              <w:t xml:space="preserve">27.  </w:t>
            </w:r>
            <w:r>
              <w:rPr>
                <w:sz w:val="16"/>
                <w:szCs w:val="16"/>
              </w:rPr>
              <w:t xml:space="preserve">Novacescu, D.; Nesiu, A.; Bardan, R.; Latcu, S.C.; Dema, V.F.; Croitor, A.; Raica, M.; Cut, T.G.; Walter, J.; Cumpanas, A.A. </w:t>
            </w:r>
            <w:r>
              <w:rPr>
                <w:b/>
                <w:bCs/>
                <w:sz w:val="16"/>
                <w:szCs w:val="16"/>
              </w:rPr>
              <w:t xml:space="preserve">Rats, neuregulins and radical prostatectomy: a conceptual overview. </w:t>
            </w:r>
            <w:r>
              <w:rPr>
                <w:i/>
                <w:iCs/>
                <w:color w:val="555555"/>
                <w:sz w:val="16"/>
                <w:szCs w:val="16"/>
              </w:rPr>
              <w:t xml:space="preserve">Journal of Clinical Medicine 2023, 12 (6), 2208. </w:t>
            </w:r>
            <w:hyperlink r:id="rId33" w:history="1">
              <w:r>
                <w:rPr>
                  <w:color w:val="0E4194"/>
                  <w:sz w:val="16"/>
                  <w:szCs w:val="16"/>
                  <w:u w:val="single"/>
                </w:rPr>
                <w:t>https://doi.org/10.3390/jcm12062208</w:t>
              </w:r>
            </w:hyperlink>
          </w:p>
          <w:p w14:paraId="44FB4A8B" w14:textId="77777777" w:rsidR="0054727D" w:rsidRDefault="0099161C">
            <w:pPr>
              <w:spacing w:after="120"/>
              <w:ind w:left="260" w:hanging="260"/>
              <w:jc w:val="both"/>
            </w:pPr>
            <w:r>
              <w:rPr>
                <w:b/>
                <w:bCs/>
                <w:color w:val="0E4194"/>
                <w:sz w:val="16"/>
                <w:szCs w:val="16"/>
              </w:rPr>
              <w:t xml:space="preserve">28.  </w:t>
            </w:r>
            <w:r>
              <w:rPr>
                <w:sz w:val="16"/>
                <w:szCs w:val="16"/>
              </w:rPr>
              <w:t xml:space="preserve">Tudoran, C.; Tudoran, M.; Abu-Awwad, A.; Cut, T.; Voiță-Mekereș, F. </w:t>
            </w:r>
            <w:r>
              <w:rPr>
                <w:b/>
                <w:bCs/>
                <w:sz w:val="16"/>
                <w:szCs w:val="16"/>
              </w:rPr>
              <w:t xml:space="preserve">Spontaneous hematomas and deep vein thrombosis during the recovery from a SARS-CoV-2 infection: case report and literature review. </w:t>
            </w:r>
            <w:r>
              <w:rPr>
                <w:i/>
                <w:iCs/>
                <w:color w:val="555555"/>
                <w:sz w:val="16"/>
                <w:szCs w:val="16"/>
              </w:rPr>
              <w:t xml:space="preserve">Medicina 2022, 58 (2), 230. </w:t>
            </w:r>
            <w:hyperlink r:id="rId34" w:history="1">
              <w:r>
                <w:rPr>
                  <w:color w:val="0E4194"/>
                  <w:sz w:val="16"/>
                  <w:szCs w:val="16"/>
                  <w:u w:val="single"/>
                </w:rPr>
                <w:t>https://doi.org/10.3390/medicina58020230</w:t>
              </w:r>
            </w:hyperlink>
          </w:p>
          <w:p w14:paraId="7767949A" w14:textId="77777777" w:rsidR="0054727D" w:rsidRDefault="0099161C">
            <w:pPr>
              <w:spacing w:after="120"/>
              <w:ind w:left="260" w:hanging="260"/>
              <w:jc w:val="both"/>
            </w:pPr>
            <w:r>
              <w:rPr>
                <w:b/>
                <w:bCs/>
                <w:color w:val="0E4194"/>
                <w:sz w:val="16"/>
                <w:szCs w:val="16"/>
              </w:rPr>
              <w:t xml:space="preserve">29.  </w:t>
            </w:r>
            <w:r>
              <w:rPr>
                <w:sz w:val="16"/>
                <w:szCs w:val="16"/>
              </w:rPr>
              <w:t xml:space="preserve">Tudoran, C.; Tudoran, M.; Cut, T.G.; Lazureanu, V.E.; Oancea, C.; Marinescu, A.R.; Pescariu, S.A.; Pop, G.N.; Bende, F. </w:t>
            </w:r>
            <w:r>
              <w:rPr>
                <w:b/>
                <w:bCs/>
                <w:sz w:val="16"/>
                <w:szCs w:val="16"/>
              </w:rPr>
              <w:t xml:space="preserve">Evolution of echocardiographic abnormalities identified in previously healthy individuals recovering from COVID-19. </w:t>
            </w:r>
            <w:r>
              <w:rPr>
                <w:i/>
                <w:iCs/>
                <w:color w:val="555555"/>
                <w:sz w:val="16"/>
                <w:szCs w:val="16"/>
              </w:rPr>
              <w:t xml:space="preserve">Journal of Personalized Medicine 2022, 12 (1), 46. </w:t>
            </w:r>
            <w:hyperlink r:id="rId35" w:history="1">
              <w:r>
                <w:rPr>
                  <w:color w:val="0E4194"/>
                  <w:sz w:val="16"/>
                  <w:szCs w:val="16"/>
                  <w:u w:val="single"/>
                </w:rPr>
                <w:t>https://doi.org/10.3390/jpm12010046</w:t>
              </w:r>
            </w:hyperlink>
          </w:p>
          <w:p w14:paraId="5BBCDD8B" w14:textId="77777777" w:rsidR="0054727D" w:rsidRDefault="0099161C">
            <w:pPr>
              <w:spacing w:after="120"/>
              <w:ind w:left="260" w:hanging="260"/>
              <w:jc w:val="both"/>
            </w:pPr>
            <w:r>
              <w:rPr>
                <w:b/>
                <w:bCs/>
                <w:color w:val="0E4194"/>
                <w:sz w:val="16"/>
                <w:szCs w:val="16"/>
              </w:rPr>
              <w:t xml:space="preserve">30.  </w:t>
            </w:r>
            <w:r>
              <w:rPr>
                <w:sz w:val="16"/>
                <w:szCs w:val="16"/>
              </w:rPr>
              <w:t xml:space="preserve">Novacescu, D.; Feciche, B.O.; Cumpanas, A.A.; Bardan, R.; Rusmir, A.V.; Bitar, Y.A.; Barbos, V.I.; Cut, T.G.; Raica, M.; Latcu, S.C. </w:t>
            </w:r>
            <w:r>
              <w:rPr>
                <w:b/>
                <w:bCs/>
                <w:sz w:val="16"/>
                <w:szCs w:val="16"/>
              </w:rPr>
              <w:t xml:space="preserve">Contemporary clinical definitions, differential diagnosis, and novel predictive tools for renal cell carcinoma. </w:t>
            </w:r>
            <w:r>
              <w:rPr>
                <w:i/>
                <w:iCs/>
                <w:color w:val="555555"/>
                <w:sz w:val="16"/>
                <w:szCs w:val="16"/>
              </w:rPr>
              <w:t xml:space="preserve">Biomedicines 2022, 10 (11), 2926. </w:t>
            </w:r>
            <w:hyperlink r:id="rId36" w:history="1">
              <w:r>
                <w:rPr>
                  <w:color w:val="0E4194"/>
                  <w:sz w:val="16"/>
                  <w:szCs w:val="16"/>
                  <w:u w:val="single"/>
                </w:rPr>
                <w:t>https://doi.org/10.3390/biomedicines10112926</w:t>
              </w:r>
            </w:hyperlink>
          </w:p>
          <w:p w14:paraId="778BF23D" w14:textId="77777777" w:rsidR="0054727D" w:rsidRDefault="0099161C">
            <w:pPr>
              <w:spacing w:after="120"/>
              <w:ind w:left="260" w:hanging="260"/>
              <w:jc w:val="both"/>
            </w:pPr>
            <w:r>
              <w:rPr>
                <w:b/>
                <w:bCs/>
                <w:color w:val="0E4194"/>
                <w:sz w:val="16"/>
                <w:szCs w:val="16"/>
              </w:rPr>
              <w:t xml:space="preserve">31.  </w:t>
            </w:r>
            <w:r>
              <w:rPr>
                <w:sz w:val="16"/>
                <w:szCs w:val="16"/>
              </w:rPr>
              <w:t xml:space="preserve">Tudoran, C.; Tudoran, M.; Cut, T.G.; Lazureanu, V.E.; Bende, F.; Fofiu, R.; Enache, A.; Pescariu, S.A.; Novacescu, D. </w:t>
            </w:r>
            <w:r>
              <w:rPr>
                <w:b/>
                <w:bCs/>
                <w:sz w:val="16"/>
                <w:szCs w:val="16"/>
              </w:rPr>
              <w:t xml:space="preserve">The impact of metabolic syndrome and obesity on the evolution of diastolic dysfunction in apparently healthy patients suffering from post-COVID-19 syndrome. </w:t>
            </w:r>
            <w:r>
              <w:rPr>
                <w:i/>
                <w:iCs/>
                <w:color w:val="555555"/>
                <w:sz w:val="16"/>
                <w:szCs w:val="16"/>
              </w:rPr>
              <w:t xml:space="preserve">Biomedicines 2022, 10 (7), 1519. </w:t>
            </w:r>
            <w:hyperlink r:id="rId37" w:history="1">
              <w:r>
                <w:rPr>
                  <w:color w:val="0E4194"/>
                  <w:sz w:val="16"/>
                  <w:szCs w:val="16"/>
                  <w:u w:val="single"/>
                </w:rPr>
                <w:t>https://doi.org/10.3390/biomedicines10071519</w:t>
              </w:r>
            </w:hyperlink>
          </w:p>
          <w:p w14:paraId="4ED8F8B5" w14:textId="77777777" w:rsidR="0054727D" w:rsidRDefault="0099161C">
            <w:pPr>
              <w:spacing w:after="120"/>
              <w:ind w:left="260" w:hanging="260"/>
              <w:jc w:val="both"/>
            </w:pPr>
            <w:r>
              <w:rPr>
                <w:b/>
                <w:bCs/>
                <w:color w:val="0E4194"/>
                <w:sz w:val="16"/>
                <w:szCs w:val="16"/>
              </w:rPr>
              <w:t xml:space="preserve">32.  </w:t>
            </w:r>
            <w:r>
              <w:rPr>
                <w:sz w:val="16"/>
                <w:szCs w:val="16"/>
              </w:rPr>
              <w:t xml:space="preserve">Marinescu, A.R.; Lazureanu, V.E.; Musta, V.F.; Nicolescu, N.D.; Mocanu, A.; Cut, T.G.; Muresan, C.O.; Tudoran, C.; Licker, M.; Laza, R. </w:t>
            </w:r>
            <w:r>
              <w:rPr>
                <w:b/>
                <w:bCs/>
                <w:sz w:val="16"/>
                <w:szCs w:val="16"/>
              </w:rPr>
              <w:t xml:space="preserve">Severe thrombocytopenic purpura associated with COVID-19 in a pediatric patient. </w:t>
            </w:r>
            <w:r>
              <w:rPr>
                <w:i/>
                <w:iCs/>
                <w:color w:val="555555"/>
                <w:sz w:val="16"/>
                <w:szCs w:val="16"/>
              </w:rPr>
              <w:t xml:space="preserve">Infection and Drug Resistance 2022, Volume 15, 3405-3415. </w:t>
            </w:r>
            <w:hyperlink r:id="rId38" w:history="1">
              <w:r>
                <w:rPr>
                  <w:color w:val="0E4194"/>
                  <w:sz w:val="16"/>
                  <w:szCs w:val="16"/>
                  <w:u w:val="single"/>
                </w:rPr>
                <w:t>https://doi.org/10.2147/IDR.S363716</w:t>
              </w:r>
            </w:hyperlink>
          </w:p>
          <w:p w14:paraId="74CA1CFB" w14:textId="77777777" w:rsidR="0054727D" w:rsidRDefault="0099161C">
            <w:pPr>
              <w:spacing w:after="120"/>
              <w:ind w:left="260" w:hanging="260"/>
              <w:jc w:val="both"/>
            </w:pPr>
            <w:r>
              <w:rPr>
                <w:b/>
                <w:bCs/>
                <w:color w:val="0E4194"/>
                <w:sz w:val="16"/>
                <w:szCs w:val="16"/>
              </w:rPr>
              <w:t xml:space="preserve">33.  </w:t>
            </w:r>
            <w:r>
              <w:rPr>
                <w:sz w:val="16"/>
                <w:szCs w:val="16"/>
              </w:rPr>
              <w:t xml:space="preserve">Mocanu, A.; Lazureanu, V.E.; Marinescu, A.R.; Cut, T.G.; Laza, R.; Rusu, L.C.; Marza, A.M.; Nelson-Twakor, A.; Negrean, R.A.; Popescu, I.M.; Mederle, A.O. </w:t>
            </w:r>
            <w:r>
              <w:rPr>
                <w:b/>
                <w:bCs/>
                <w:sz w:val="16"/>
                <w:szCs w:val="16"/>
              </w:rPr>
              <w:t xml:space="preserve">A retrospective assessment of laboratory findings and cytokine markers in severe SARS-CoV-2 </w:t>
            </w:r>
            <w:r>
              <w:rPr>
                <w:b/>
                <w:bCs/>
                <w:sz w:val="16"/>
                <w:szCs w:val="16"/>
              </w:rPr>
              <w:lastRenderedPageBreak/>
              <w:t xml:space="preserve">infection among patients of Roma population. </w:t>
            </w:r>
            <w:r>
              <w:rPr>
                <w:i/>
                <w:iCs/>
                <w:color w:val="555555"/>
                <w:sz w:val="16"/>
                <w:szCs w:val="16"/>
              </w:rPr>
              <w:t xml:space="preserve">Journal of Clinical Medicine 2022, 11 (22), 6777. </w:t>
            </w:r>
            <w:hyperlink r:id="rId39" w:history="1">
              <w:r>
                <w:rPr>
                  <w:color w:val="0E4194"/>
                  <w:sz w:val="16"/>
                  <w:szCs w:val="16"/>
                  <w:u w:val="single"/>
                </w:rPr>
                <w:t>https://doi.org/10.3390/jcm11226777</w:t>
              </w:r>
            </w:hyperlink>
          </w:p>
          <w:p w14:paraId="08C6B23D" w14:textId="77777777" w:rsidR="0054727D" w:rsidRDefault="0099161C">
            <w:pPr>
              <w:spacing w:after="120"/>
              <w:ind w:left="260" w:hanging="260"/>
              <w:jc w:val="both"/>
            </w:pPr>
            <w:r>
              <w:rPr>
                <w:b/>
                <w:bCs/>
                <w:color w:val="0E4194"/>
                <w:sz w:val="16"/>
                <w:szCs w:val="16"/>
              </w:rPr>
              <w:t xml:space="preserve">34.  </w:t>
            </w:r>
            <w:r>
              <w:rPr>
                <w:sz w:val="16"/>
                <w:szCs w:val="16"/>
              </w:rPr>
              <w:t xml:space="preserve">Novacescu, D.; Cut, T.G.; Cumpanas, A.A.; Latcu, S.C.; Bardan, R.; Ferician, O.; Secasan, C.C.; Rusmir, A.; Raica, M. </w:t>
            </w:r>
            <w:r>
              <w:rPr>
                <w:b/>
                <w:bCs/>
                <w:sz w:val="16"/>
                <w:szCs w:val="16"/>
              </w:rPr>
              <w:t xml:space="preserve">Evaluating established roles, future perspectives and methodological heterogeneity for Wilms' tumor 1 (WT1) antigen detection in adult renal cell carcinoma, using a novel N-terminus targeted antibody (clone WT49). </w:t>
            </w:r>
            <w:r>
              <w:rPr>
                <w:i/>
                <w:iCs/>
                <w:color w:val="555555"/>
                <w:sz w:val="16"/>
                <w:szCs w:val="16"/>
              </w:rPr>
              <w:t xml:space="preserve">Biomedicines 2022, 10 (4), 912. </w:t>
            </w:r>
            <w:hyperlink r:id="rId40" w:history="1">
              <w:r>
                <w:rPr>
                  <w:color w:val="0E4194"/>
                  <w:sz w:val="16"/>
                  <w:szCs w:val="16"/>
                  <w:u w:val="single"/>
                </w:rPr>
                <w:t>https://doi.org/10.3390/biomedicines10040912</w:t>
              </w:r>
            </w:hyperlink>
          </w:p>
          <w:p w14:paraId="49B074BF" w14:textId="77777777" w:rsidR="0054727D" w:rsidRDefault="0099161C">
            <w:pPr>
              <w:spacing w:after="120"/>
              <w:ind w:left="260" w:hanging="260"/>
              <w:jc w:val="both"/>
            </w:pPr>
            <w:r>
              <w:rPr>
                <w:b/>
                <w:bCs/>
                <w:color w:val="0E4194"/>
                <w:sz w:val="16"/>
                <w:szCs w:val="16"/>
              </w:rPr>
              <w:t xml:space="preserve">35.  </w:t>
            </w:r>
            <w:r>
              <w:rPr>
                <w:sz w:val="16"/>
                <w:szCs w:val="16"/>
              </w:rPr>
              <w:t xml:space="preserve">Novacescu, D.; Cut, T.G.; Cumpanas, A.A.; Bratosin, F.; Ceausu, R.A.; Raica, M. </w:t>
            </w:r>
            <w:r>
              <w:rPr>
                <w:b/>
                <w:bCs/>
                <w:sz w:val="16"/>
                <w:szCs w:val="16"/>
              </w:rPr>
              <w:t xml:space="preserve">Novel Expression of Thymine Dimers in Renal Cell Carcinoma, Demonstrated through Immunohistochemistry. </w:t>
            </w:r>
            <w:r>
              <w:rPr>
                <w:i/>
                <w:iCs/>
                <w:color w:val="555555"/>
                <w:sz w:val="16"/>
                <w:szCs w:val="16"/>
              </w:rPr>
              <w:t xml:space="preserve">Biomedicines 2022, 10 (11), 2673. </w:t>
            </w:r>
            <w:hyperlink r:id="rId41" w:history="1">
              <w:r>
                <w:rPr>
                  <w:color w:val="0E4194"/>
                  <w:sz w:val="16"/>
                  <w:szCs w:val="16"/>
                  <w:u w:val="single"/>
                </w:rPr>
                <w:t>https://doi.org/10.3390/biomedicines10112673</w:t>
              </w:r>
            </w:hyperlink>
          </w:p>
          <w:p w14:paraId="117BB222" w14:textId="77777777" w:rsidR="0054727D" w:rsidRDefault="0099161C">
            <w:pPr>
              <w:spacing w:after="120"/>
              <w:ind w:left="260" w:hanging="260"/>
              <w:jc w:val="both"/>
            </w:pPr>
            <w:r>
              <w:rPr>
                <w:b/>
                <w:bCs/>
                <w:color w:val="0E4194"/>
                <w:sz w:val="16"/>
                <w:szCs w:val="16"/>
              </w:rPr>
              <w:t xml:space="preserve">36.  </w:t>
            </w:r>
            <w:r>
              <w:rPr>
                <w:sz w:val="16"/>
                <w:szCs w:val="16"/>
              </w:rPr>
              <w:t xml:space="preserve">Mocanu, A.; Lazureanu, V.; Cut, T.; Laza, R.; Musta, V.; Nicolescu, N.; Marinescu, A.; Nelson-Twakor, A.; Dumache, R.; Mederle, O. </w:t>
            </w:r>
            <w:r>
              <w:rPr>
                <w:b/>
                <w:bCs/>
                <w:sz w:val="16"/>
                <w:szCs w:val="16"/>
              </w:rPr>
              <w:t xml:space="preserve">Angiocatheter Decompression on a Covid-19 Patient with severe Pneumonia, Pneumothorax, and Subcutaneous Emphysema. </w:t>
            </w:r>
            <w:r>
              <w:rPr>
                <w:i/>
                <w:iCs/>
                <w:color w:val="555555"/>
                <w:sz w:val="16"/>
                <w:szCs w:val="16"/>
              </w:rPr>
              <w:t xml:space="preserve">Clinical Laboratory 2022, 68 (11/2022). </w:t>
            </w:r>
            <w:hyperlink r:id="rId42" w:history="1">
              <w:r>
                <w:rPr>
                  <w:color w:val="0E4194"/>
                  <w:sz w:val="16"/>
                  <w:szCs w:val="16"/>
                  <w:u w:val="single"/>
                </w:rPr>
                <w:t>https://doi.org/10.7754/Clin.Lab.2022.220147</w:t>
              </w:r>
            </w:hyperlink>
          </w:p>
          <w:p w14:paraId="516D87A9" w14:textId="77777777" w:rsidR="0054727D" w:rsidRDefault="0099161C">
            <w:pPr>
              <w:spacing w:after="120"/>
              <w:ind w:left="260" w:hanging="260"/>
              <w:jc w:val="both"/>
            </w:pPr>
            <w:r>
              <w:rPr>
                <w:b/>
                <w:bCs/>
                <w:color w:val="0E4194"/>
                <w:sz w:val="16"/>
                <w:szCs w:val="16"/>
              </w:rPr>
              <w:t xml:space="preserve">37.  </w:t>
            </w:r>
            <w:r>
              <w:rPr>
                <w:sz w:val="16"/>
                <w:szCs w:val="16"/>
              </w:rPr>
              <w:t xml:space="preserve">Cut, T.G.; Ciocan, V.; Novacescu, D.; Voicu, A.; Marinescu, A.R.; Lazureanu, V.E.; Muresan, C.O.; Enache, A.; Dumache, R. </w:t>
            </w:r>
            <w:r>
              <w:rPr>
                <w:b/>
                <w:bCs/>
                <w:sz w:val="16"/>
                <w:szCs w:val="16"/>
              </w:rPr>
              <w:t xml:space="preserve">Autopsy Findings and Inflammatory Markers in SARS-CoV-2: A Single-Center Experience. </w:t>
            </w:r>
            <w:r>
              <w:rPr>
                <w:i/>
                <w:iCs/>
                <w:color w:val="555555"/>
                <w:sz w:val="16"/>
                <w:szCs w:val="16"/>
              </w:rPr>
              <w:t xml:space="preserve">International Journal of General Medicine 2022, Volume 15, 8743-8753. </w:t>
            </w:r>
            <w:hyperlink r:id="rId43" w:history="1">
              <w:r>
                <w:rPr>
                  <w:color w:val="0E4194"/>
                  <w:sz w:val="16"/>
                  <w:szCs w:val="16"/>
                  <w:u w:val="single"/>
                </w:rPr>
                <w:t>https://doi.org/10.2147/IJGM.S389300</w:t>
              </w:r>
            </w:hyperlink>
          </w:p>
          <w:p w14:paraId="71FA38E8" w14:textId="77777777" w:rsidR="0054727D" w:rsidRDefault="0099161C">
            <w:pPr>
              <w:spacing w:after="120"/>
              <w:ind w:left="260" w:hanging="260"/>
              <w:jc w:val="both"/>
            </w:pPr>
            <w:r>
              <w:rPr>
                <w:b/>
                <w:bCs/>
                <w:color w:val="0E4194"/>
                <w:sz w:val="16"/>
                <w:szCs w:val="16"/>
              </w:rPr>
              <w:t xml:space="preserve">38.  </w:t>
            </w:r>
            <w:r>
              <w:rPr>
                <w:sz w:val="16"/>
                <w:szCs w:val="16"/>
              </w:rPr>
              <w:t xml:space="preserve">Dumache, R.; Enache, A.; Cut, T.; Paul, C.; Mihailescu, A.; Ionescu, A.; Novacescu, D.; Marinescu, A.; Ciocan, V.; Muresan, C.; Voicu, A. </w:t>
            </w:r>
            <w:r>
              <w:rPr>
                <w:b/>
                <w:bCs/>
                <w:sz w:val="16"/>
                <w:szCs w:val="16"/>
              </w:rPr>
              <w:t xml:space="preserve">Deficiency of Vitamin D, a Major Risk Factor for SARS-CoV-2 Severity. </w:t>
            </w:r>
            <w:r>
              <w:rPr>
                <w:i/>
                <w:iCs/>
                <w:color w:val="555555"/>
                <w:sz w:val="16"/>
                <w:szCs w:val="16"/>
              </w:rPr>
              <w:t xml:space="preserve">Clinical Laboratory 2022, 68 (03/2022). </w:t>
            </w:r>
            <w:hyperlink r:id="rId44" w:history="1">
              <w:r>
                <w:rPr>
                  <w:color w:val="0E4194"/>
                  <w:sz w:val="16"/>
                  <w:szCs w:val="16"/>
                  <w:u w:val="single"/>
                </w:rPr>
                <w:t>https://doi.org/10.7754/Clin.Lab.2021.210327</w:t>
              </w:r>
            </w:hyperlink>
          </w:p>
          <w:p w14:paraId="2766064E" w14:textId="77777777" w:rsidR="0054727D" w:rsidRDefault="0099161C">
            <w:pPr>
              <w:spacing w:after="120"/>
              <w:ind w:left="260" w:hanging="260"/>
              <w:jc w:val="both"/>
            </w:pPr>
            <w:r>
              <w:rPr>
                <w:b/>
                <w:bCs/>
                <w:color w:val="0E4194"/>
                <w:sz w:val="16"/>
                <w:szCs w:val="16"/>
              </w:rPr>
              <w:t xml:space="preserve">39.  </w:t>
            </w:r>
            <w:r>
              <w:rPr>
                <w:sz w:val="16"/>
                <w:szCs w:val="16"/>
              </w:rPr>
              <w:t xml:space="preserve">Laza, R.; Lazureanu, V.E.; Musta, V.F.; Nicolescu, N.D.; Vernic, C.; Tudor, A.; Critu, R.; Vilceanu, L.; Paczeyka, R.; Bica Profir, V.; Marinescu, A.R.; Mocanu, A.; Cut, T.G.; Lighezan, D.F.; Baditoiu, L.M. </w:t>
            </w:r>
            <w:r>
              <w:rPr>
                <w:b/>
                <w:bCs/>
                <w:sz w:val="16"/>
                <w:szCs w:val="16"/>
              </w:rPr>
              <w:t xml:space="preserve">COVID-19 independent risk factors for unfavorable disease progression: a cross-sectional study from Romania. </w:t>
            </w:r>
            <w:r>
              <w:rPr>
                <w:i/>
                <w:iCs/>
                <w:color w:val="555555"/>
                <w:sz w:val="16"/>
                <w:szCs w:val="16"/>
              </w:rPr>
              <w:t xml:space="preserve">International Journal of General Medicine 2022, Volume 15, 2025-2036. </w:t>
            </w:r>
            <w:hyperlink r:id="rId45" w:history="1">
              <w:r>
                <w:rPr>
                  <w:color w:val="0E4194"/>
                  <w:sz w:val="16"/>
                  <w:szCs w:val="16"/>
                  <w:u w:val="single"/>
                </w:rPr>
                <w:t>https://doi.org/10.2147/IJGM.S350920</w:t>
              </w:r>
            </w:hyperlink>
          </w:p>
          <w:p w14:paraId="100CB914" w14:textId="77777777" w:rsidR="0054727D" w:rsidRDefault="0099161C">
            <w:pPr>
              <w:spacing w:after="120"/>
              <w:ind w:left="260" w:hanging="260"/>
              <w:jc w:val="both"/>
            </w:pPr>
            <w:r>
              <w:rPr>
                <w:b/>
                <w:bCs/>
                <w:color w:val="0E4194"/>
                <w:sz w:val="16"/>
                <w:szCs w:val="16"/>
              </w:rPr>
              <w:t xml:space="preserve">40.  </w:t>
            </w:r>
            <w:r>
              <w:rPr>
                <w:sz w:val="16"/>
                <w:szCs w:val="16"/>
              </w:rPr>
              <w:t xml:space="preserve">Tudoran, C.; Tudoran, M.; Lazureanu, E.; Marinescu, A.; Novacescu, D.; Cut, T.G. </w:t>
            </w:r>
            <w:r>
              <w:rPr>
                <w:b/>
                <w:bCs/>
                <w:sz w:val="16"/>
                <w:szCs w:val="16"/>
              </w:rPr>
              <w:t xml:space="preserve">Impairment of the Cardiovascular System during SARS-CoV-2 Infection. </w:t>
            </w:r>
            <w:r>
              <w:rPr>
                <w:i/>
                <w:iCs/>
                <w:color w:val="555555"/>
                <w:sz w:val="16"/>
                <w:szCs w:val="16"/>
              </w:rPr>
              <w:t xml:space="preserve">RNA Viruses Infection (IntechOpen) 2022. </w:t>
            </w:r>
            <w:hyperlink r:id="rId46" w:history="1">
              <w:r>
                <w:rPr>
                  <w:color w:val="0E4194"/>
                  <w:sz w:val="16"/>
                  <w:szCs w:val="16"/>
                  <w:u w:val="single"/>
                </w:rPr>
                <w:t>https://doi.org/10.5772/intechopen.98167</w:t>
              </w:r>
            </w:hyperlink>
          </w:p>
          <w:p w14:paraId="5324E677" w14:textId="77777777" w:rsidR="0054727D" w:rsidRDefault="0099161C">
            <w:pPr>
              <w:spacing w:after="120"/>
              <w:ind w:left="260" w:hanging="260"/>
              <w:jc w:val="both"/>
            </w:pPr>
            <w:r>
              <w:rPr>
                <w:b/>
                <w:bCs/>
                <w:color w:val="0E4194"/>
                <w:sz w:val="16"/>
                <w:szCs w:val="16"/>
              </w:rPr>
              <w:t xml:space="preserve">41.  </w:t>
            </w:r>
            <w:r>
              <w:rPr>
                <w:sz w:val="16"/>
                <w:szCs w:val="16"/>
              </w:rPr>
              <w:t xml:space="preserve">Tudoran, C.; Tudoran, M.; Lazureanu, V.E.; Marinescu, A.R.; Pop, G.N.; Pescariu, A.S.; Enache, A.; Cut, T.G. </w:t>
            </w:r>
            <w:r>
              <w:rPr>
                <w:b/>
                <w:bCs/>
                <w:sz w:val="16"/>
                <w:szCs w:val="16"/>
              </w:rPr>
              <w:t xml:space="preserve">Evidence of pulmonary hypertension after SARS-CoV-2 infection in subjects without previous significant cardiovascular pathology. </w:t>
            </w:r>
            <w:r>
              <w:rPr>
                <w:i/>
                <w:iCs/>
                <w:color w:val="555555"/>
                <w:sz w:val="16"/>
                <w:szCs w:val="16"/>
              </w:rPr>
              <w:t xml:space="preserve">Journal of Clinical Medicine 2021, 10 (2), 199. </w:t>
            </w:r>
            <w:hyperlink r:id="rId47" w:history="1">
              <w:r>
                <w:rPr>
                  <w:color w:val="0E4194"/>
                  <w:sz w:val="16"/>
                  <w:szCs w:val="16"/>
                  <w:u w:val="single"/>
                </w:rPr>
                <w:t>https://doi.org/10.3390/jcm10020199</w:t>
              </w:r>
            </w:hyperlink>
          </w:p>
          <w:p w14:paraId="49AA57E5" w14:textId="77777777" w:rsidR="0054727D" w:rsidRDefault="0099161C">
            <w:pPr>
              <w:spacing w:after="120"/>
              <w:ind w:left="260" w:hanging="260"/>
              <w:jc w:val="both"/>
            </w:pPr>
            <w:r>
              <w:rPr>
                <w:b/>
                <w:bCs/>
                <w:color w:val="0E4194"/>
                <w:sz w:val="16"/>
                <w:szCs w:val="16"/>
              </w:rPr>
              <w:t xml:space="preserve">42.  </w:t>
            </w:r>
            <w:r>
              <w:rPr>
                <w:sz w:val="16"/>
                <w:szCs w:val="16"/>
              </w:rPr>
              <w:t xml:space="preserve">Tudoran, C.; Tudoran, M.; Pop, G.N.; Giurgi-Oncu, C.; Cut, T.G.; Lazureanu, V.E.; Oancea, C.; Parv, F.; Ciocarlie, T.; Bende, F. </w:t>
            </w:r>
            <w:r>
              <w:rPr>
                <w:b/>
                <w:bCs/>
                <w:sz w:val="16"/>
                <w:szCs w:val="16"/>
              </w:rPr>
              <w:t xml:space="preserve">Associations between the severity of the post-acute COVID-19 syndrome and echocardiographic abnormalities in previously healthy outpatients following infection with SARS-CoV-2. </w:t>
            </w:r>
            <w:r>
              <w:rPr>
                <w:i/>
                <w:iCs/>
                <w:color w:val="555555"/>
                <w:sz w:val="16"/>
                <w:szCs w:val="16"/>
              </w:rPr>
              <w:t xml:space="preserve">Biology 2021, 10 (6), 469. </w:t>
            </w:r>
            <w:hyperlink r:id="rId48" w:history="1">
              <w:r>
                <w:rPr>
                  <w:color w:val="0E4194"/>
                  <w:sz w:val="16"/>
                  <w:szCs w:val="16"/>
                  <w:u w:val="single"/>
                </w:rPr>
                <w:t>https://doi.org/10.3390/biology10060469</w:t>
              </w:r>
            </w:hyperlink>
          </w:p>
          <w:p w14:paraId="26FABEEA" w14:textId="77777777" w:rsidR="0054727D" w:rsidRDefault="0099161C">
            <w:pPr>
              <w:spacing w:after="120"/>
              <w:ind w:left="260" w:hanging="260"/>
              <w:jc w:val="both"/>
            </w:pPr>
            <w:r>
              <w:rPr>
                <w:b/>
                <w:bCs/>
                <w:color w:val="0E4194"/>
                <w:sz w:val="16"/>
                <w:szCs w:val="16"/>
              </w:rPr>
              <w:t xml:space="preserve">43.  </w:t>
            </w:r>
            <w:r>
              <w:rPr>
                <w:sz w:val="16"/>
                <w:szCs w:val="16"/>
              </w:rPr>
              <w:t xml:space="preserve">Tudoran, M.; Tudoran, C.; Lazureanu, V.; Marinescu, A.; Pop, G.; Pescariu, A.; Enache, A.; Cut, T. </w:t>
            </w:r>
            <w:r>
              <w:rPr>
                <w:b/>
                <w:bCs/>
                <w:sz w:val="16"/>
                <w:szCs w:val="16"/>
              </w:rPr>
              <w:t xml:space="preserve">Alterations of left ventricular function persisting during post-acute COVID-19 in subjects without previously diagnosed cardiovascular pathology. </w:t>
            </w:r>
            <w:r>
              <w:rPr>
                <w:i/>
                <w:iCs/>
                <w:color w:val="555555"/>
                <w:sz w:val="16"/>
                <w:szCs w:val="16"/>
              </w:rPr>
              <w:t xml:space="preserve">Journal of Personalized Medicine 2021, 11 (3), 225. </w:t>
            </w:r>
            <w:hyperlink r:id="rId49" w:history="1">
              <w:r>
                <w:rPr>
                  <w:color w:val="0E4194"/>
                  <w:sz w:val="16"/>
                  <w:szCs w:val="16"/>
                  <w:u w:val="single"/>
                </w:rPr>
                <w:t>https://doi.org/10.3390/jpm11030225</w:t>
              </w:r>
            </w:hyperlink>
          </w:p>
          <w:p w14:paraId="7C7ADEDC" w14:textId="77777777" w:rsidR="0054727D" w:rsidRDefault="0099161C">
            <w:pPr>
              <w:spacing w:after="120"/>
              <w:ind w:left="260" w:hanging="260"/>
              <w:jc w:val="both"/>
            </w:pPr>
            <w:r>
              <w:rPr>
                <w:b/>
                <w:bCs/>
                <w:color w:val="0E4194"/>
                <w:sz w:val="16"/>
                <w:szCs w:val="16"/>
              </w:rPr>
              <w:t xml:space="preserve">44.  </w:t>
            </w:r>
            <w:r>
              <w:rPr>
                <w:sz w:val="16"/>
                <w:szCs w:val="16"/>
              </w:rPr>
              <w:t xml:space="preserve">Cut, T.G.; Tudoran, C.; Lazureanu, V.E.; Marinescu, A.R.; Dumache, R.; Tudoran, M. </w:t>
            </w:r>
            <w:r>
              <w:rPr>
                <w:b/>
                <w:bCs/>
                <w:sz w:val="16"/>
                <w:szCs w:val="16"/>
              </w:rPr>
              <w:t xml:space="preserve">Spontaneous pneumomediastinum, pneumothorax, pneumopericardium and subcutaneous emphysema—not so uncommon complications in patients with COVID-19 pulmonary infection—a series of cases. </w:t>
            </w:r>
            <w:r>
              <w:rPr>
                <w:i/>
                <w:iCs/>
                <w:color w:val="555555"/>
                <w:sz w:val="16"/>
                <w:szCs w:val="16"/>
              </w:rPr>
              <w:t xml:space="preserve">Journal of Clinical Medicine 2021, 10 (7), 1346. </w:t>
            </w:r>
            <w:hyperlink r:id="rId50" w:history="1">
              <w:r>
                <w:rPr>
                  <w:color w:val="0E4194"/>
                  <w:sz w:val="16"/>
                  <w:szCs w:val="16"/>
                  <w:u w:val="single"/>
                </w:rPr>
                <w:t>https://doi.org/10.3390/jcm10071346</w:t>
              </w:r>
            </w:hyperlink>
          </w:p>
          <w:p w14:paraId="10C4A58C" w14:textId="77777777" w:rsidR="0054727D" w:rsidRDefault="0099161C">
            <w:pPr>
              <w:spacing w:after="120"/>
              <w:ind w:left="260" w:hanging="260"/>
              <w:jc w:val="both"/>
            </w:pPr>
            <w:r>
              <w:rPr>
                <w:b/>
                <w:bCs/>
                <w:color w:val="0E4194"/>
                <w:sz w:val="16"/>
                <w:szCs w:val="16"/>
              </w:rPr>
              <w:t xml:space="preserve">45.  </w:t>
            </w:r>
            <w:r>
              <w:rPr>
                <w:sz w:val="16"/>
                <w:szCs w:val="16"/>
              </w:rPr>
              <w:t xml:space="preserve">Dehelean, L.; Papava, I.; Musat, M.I.; Bondrescu, M.; Bratosin, F.; Bucatos, B.O.; Bortun, A.M.C.; Mager, D.V.; Romosan, R.S.; Romosan, A.M.; Paczeyka, R.; Cut, T.G.; Pescariu, S.A.; Laza, R. </w:t>
            </w:r>
            <w:r>
              <w:rPr>
                <w:b/>
                <w:bCs/>
                <w:sz w:val="16"/>
                <w:szCs w:val="16"/>
              </w:rPr>
              <w:t xml:space="preserve">Coping strategies and stress related disorders in patients with COVID-19. </w:t>
            </w:r>
            <w:r>
              <w:rPr>
                <w:i/>
                <w:iCs/>
                <w:color w:val="555555"/>
                <w:sz w:val="16"/>
                <w:szCs w:val="16"/>
              </w:rPr>
              <w:t xml:space="preserve">Brain Sciences 2021, 11 (10), 1287. </w:t>
            </w:r>
            <w:hyperlink r:id="rId51" w:history="1">
              <w:r>
                <w:rPr>
                  <w:color w:val="0E4194"/>
                  <w:sz w:val="16"/>
                  <w:szCs w:val="16"/>
                  <w:u w:val="single"/>
                </w:rPr>
                <w:t>https://doi.org/10.3390/brainsci11101287</w:t>
              </w:r>
            </w:hyperlink>
          </w:p>
          <w:p w14:paraId="630F96A4" w14:textId="77777777" w:rsidR="0054727D" w:rsidRDefault="0099161C">
            <w:pPr>
              <w:spacing w:after="120"/>
              <w:ind w:left="260" w:hanging="260"/>
              <w:jc w:val="both"/>
            </w:pPr>
            <w:r>
              <w:rPr>
                <w:b/>
                <w:bCs/>
                <w:color w:val="0E4194"/>
                <w:sz w:val="16"/>
                <w:szCs w:val="16"/>
              </w:rPr>
              <w:t xml:space="preserve">46.  </w:t>
            </w:r>
            <w:r>
              <w:rPr>
                <w:sz w:val="16"/>
                <w:szCs w:val="16"/>
              </w:rPr>
              <w:t xml:space="preserve">Tudoran, C.; Tudoran, M.; Lazureanu, V.E.; Marinescu, A.R.; Cut, T.G.; Oancea, C.; Pescariu, S.A.; Pop, G.N. </w:t>
            </w:r>
            <w:r>
              <w:rPr>
                <w:b/>
                <w:bCs/>
                <w:sz w:val="16"/>
                <w:szCs w:val="16"/>
              </w:rPr>
              <w:t xml:space="preserve">Factors influencing the evolution of pulmonary hypertension in previously healthy subjects recovering from a SARS-CoV-2 infection. </w:t>
            </w:r>
            <w:r>
              <w:rPr>
                <w:i/>
                <w:iCs/>
                <w:color w:val="555555"/>
                <w:sz w:val="16"/>
                <w:szCs w:val="16"/>
              </w:rPr>
              <w:t xml:space="preserve">Journal of Clinical Medicine 2021, 10 (22), 5272. </w:t>
            </w:r>
            <w:hyperlink r:id="rId52" w:history="1">
              <w:r>
                <w:rPr>
                  <w:color w:val="0E4194"/>
                  <w:sz w:val="16"/>
                  <w:szCs w:val="16"/>
                  <w:u w:val="single"/>
                </w:rPr>
                <w:t>https://doi.org/10.3390/jcm10225272</w:t>
              </w:r>
            </w:hyperlink>
          </w:p>
          <w:p w14:paraId="681306EA" w14:textId="77777777" w:rsidR="0054727D" w:rsidRDefault="0099161C">
            <w:pPr>
              <w:spacing w:after="120"/>
              <w:ind w:left="260" w:hanging="260"/>
              <w:jc w:val="both"/>
            </w:pPr>
            <w:r>
              <w:rPr>
                <w:b/>
                <w:bCs/>
                <w:color w:val="0E4194"/>
                <w:sz w:val="16"/>
                <w:szCs w:val="16"/>
              </w:rPr>
              <w:t xml:space="preserve">47.  </w:t>
            </w:r>
            <w:r>
              <w:rPr>
                <w:sz w:val="16"/>
                <w:szCs w:val="16"/>
              </w:rPr>
              <w:t xml:space="preserve">Marinescu, A.R.; Laza, R.; Musta, V.F.; Cut, T.G.; Dumache, R.; Tudor, A.; Porosnicu, M.; Lazureanu, V.E.; Licker, M. </w:t>
            </w:r>
            <w:r>
              <w:rPr>
                <w:b/>
                <w:bCs/>
                <w:sz w:val="16"/>
                <w:szCs w:val="16"/>
              </w:rPr>
              <w:t xml:space="preserve">Clostridium difficile and COVID-19: general data, ribotype, clinical form, treatment-our experience from the largest infectious diseases hospital in Western Romania. </w:t>
            </w:r>
            <w:r>
              <w:rPr>
                <w:i/>
                <w:iCs/>
                <w:color w:val="555555"/>
                <w:sz w:val="16"/>
                <w:szCs w:val="16"/>
              </w:rPr>
              <w:t xml:space="preserve">Medicina 2021, 57 (10), 1099. </w:t>
            </w:r>
            <w:hyperlink r:id="rId53" w:history="1">
              <w:r>
                <w:rPr>
                  <w:color w:val="0E4194"/>
                  <w:sz w:val="16"/>
                  <w:szCs w:val="16"/>
                  <w:u w:val="single"/>
                </w:rPr>
                <w:t>https://doi.org/10.3390/medicina57101099</w:t>
              </w:r>
            </w:hyperlink>
          </w:p>
          <w:p w14:paraId="3CFD2A15" w14:textId="77777777" w:rsidR="0054727D" w:rsidRDefault="0099161C">
            <w:pPr>
              <w:spacing w:after="120"/>
              <w:ind w:left="260" w:hanging="260"/>
              <w:jc w:val="both"/>
            </w:pPr>
            <w:r>
              <w:rPr>
                <w:b/>
                <w:bCs/>
                <w:color w:val="0E4194"/>
                <w:sz w:val="16"/>
                <w:szCs w:val="16"/>
              </w:rPr>
              <w:t xml:space="preserve">48.  </w:t>
            </w:r>
            <w:r>
              <w:rPr>
                <w:sz w:val="16"/>
                <w:szCs w:val="16"/>
              </w:rPr>
              <w:t xml:space="preserve">Dumache, R.; Daescu, E.; Ciocan, V.; Mureşan, C.; Talida, C.; Gavrilita, D.; Enache, A. </w:t>
            </w:r>
            <w:r>
              <w:rPr>
                <w:b/>
                <w:bCs/>
                <w:sz w:val="16"/>
                <w:szCs w:val="16"/>
              </w:rPr>
              <w:t xml:space="preserve">Molecular testing of SARS-CoV-2 infection from blood samples in disseminated intravascular coagulation (DIC) and elevated D-dimer levels. </w:t>
            </w:r>
            <w:r>
              <w:rPr>
                <w:i/>
                <w:iCs/>
                <w:color w:val="555555"/>
                <w:sz w:val="16"/>
                <w:szCs w:val="16"/>
              </w:rPr>
              <w:t xml:space="preserve">Clinical Laboratory 2021, 67 (01/2021). </w:t>
            </w:r>
            <w:hyperlink r:id="rId54" w:history="1">
              <w:r>
                <w:rPr>
                  <w:color w:val="0E4194"/>
                  <w:sz w:val="16"/>
                  <w:szCs w:val="16"/>
                  <w:u w:val="single"/>
                </w:rPr>
                <w:t>https://doi.org/10.7754/Clin.Lab.2020.200704</w:t>
              </w:r>
            </w:hyperlink>
          </w:p>
          <w:p w14:paraId="574430C2" w14:textId="77777777" w:rsidR="0054727D" w:rsidRDefault="0099161C">
            <w:pPr>
              <w:spacing w:after="120"/>
              <w:ind w:left="260" w:hanging="260"/>
              <w:jc w:val="both"/>
            </w:pPr>
            <w:r>
              <w:rPr>
                <w:b/>
                <w:bCs/>
                <w:color w:val="0E4194"/>
                <w:sz w:val="16"/>
                <w:szCs w:val="16"/>
              </w:rPr>
              <w:t xml:space="preserve">49.  </w:t>
            </w:r>
            <w:r>
              <w:rPr>
                <w:sz w:val="16"/>
                <w:szCs w:val="16"/>
              </w:rPr>
              <w:t xml:space="preserve">Enache, A.; Ciocan, V.; Muresan, C.O.; Cut, T.G.; Novacescu, D.; Paul, C.; Andreescu, N.; Mihailescu, A.; Raica, M.; Dumache, R. </w:t>
            </w:r>
            <w:r>
              <w:rPr>
                <w:b/>
                <w:bCs/>
                <w:sz w:val="16"/>
                <w:szCs w:val="16"/>
              </w:rPr>
              <w:t xml:space="preserve">Postmortem documentation of SARS-CoV-2 in utero and postpartum transmission, through amniotic fluid, placental, and </w:t>
            </w:r>
            <w:r>
              <w:rPr>
                <w:b/>
                <w:bCs/>
                <w:sz w:val="16"/>
                <w:szCs w:val="16"/>
              </w:rPr>
              <w:lastRenderedPageBreak/>
              <w:t xml:space="preserve">pulmonary tissue RT-PCR. </w:t>
            </w:r>
            <w:r>
              <w:rPr>
                <w:i/>
                <w:iCs/>
                <w:color w:val="555555"/>
                <w:sz w:val="16"/>
                <w:szCs w:val="16"/>
              </w:rPr>
              <w:t xml:space="preserve">Applied Sciences 2021, 11 (20), 9505. </w:t>
            </w:r>
            <w:hyperlink r:id="rId55" w:history="1">
              <w:r>
                <w:rPr>
                  <w:color w:val="0E4194"/>
                  <w:sz w:val="16"/>
                  <w:szCs w:val="16"/>
                  <w:u w:val="single"/>
                </w:rPr>
                <w:t>https://doi.org/10.3390/app11209505</w:t>
              </w:r>
            </w:hyperlink>
          </w:p>
          <w:p w14:paraId="6E0F671A" w14:textId="77777777" w:rsidR="0054727D" w:rsidRDefault="0099161C">
            <w:pPr>
              <w:spacing w:after="120"/>
              <w:ind w:left="260" w:hanging="260"/>
              <w:jc w:val="both"/>
            </w:pPr>
            <w:r>
              <w:rPr>
                <w:b/>
                <w:bCs/>
                <w:color w:val="0E4194"/>
                <w:sz w:val="16"/>
                <w:szCs w:val="16"/>
              </w:rPr>
              <w:t xml:space="preserve">50.  </w:t>
            </w:r>
            <w:r>
              <w:rPr>
                <w:sz w:val="16"/>
                <w:szCs w:val="16"/>
              </w:rPr>
              <w:t xml:space="preserve">Laza, R.; Musta, V.F.; Nicolescu, N.D.; Marinescu, A.R.; Mocanu, A.; Vilceanu, L.; Paczeyka, R.; Cut, T.G.; Lazureanu, V.E. </w:t>
            </w:r>
            <w:r>
              <w:rPr>
                <w:b/>
                <w:bCs/>
                <w:sz w:val="16"/>
                <w:szCs w:val="16"/>
              </w:rPr>
              <w:t xml:space="preserve">Cutaneous manifestations in SARS-CoV-2 infection—a series of cases from the largest infectious diseases hospital in Western Romania. </w:t>
            </w:r>
            <w:r>
              <w:rPr>
                <w:i/>
                <w:iCs/>
                <w:color w:val="555555"/>
                <w:sz w:val="16"/>
                <w:szCs w:val="16"/>
              </w:rPr>
              <w:t xml:space="preserve">Healthcare 2021, 9 (7), 800. </w:t>
            </w:r>
            <w:hyperlink r:id="rId56" w:history="1">
              <w:r>
                <w:rPr>
                  <w:color w:val="0E4194"/>
                  <w:sz w:val="16"/>
                  <w:szCs w:val="16"/>
                  <w:u w:val="single"/>
                </w:rPr>
                <w:t>https://doi.org/10.3390/healthcare9070800</w:t>
              </w:r>
            </w:hyperlink>
          </w:p>
          <w:p w14:paraId="5FF34E79" w14:textId="77777777" w:rsidR="0054727D" w:rsidRDefault="0099161C">
            <w:pPr>
              <w:spacing w:after="120"/>
              <w:ind w:left="260" w:hanging="260"/>
              <w:jc w:val="both"/>
            </w:pPr>
            <w:r>
              <w:rPr>
                <w:b/>
                <w:bCs/>
                <w:color w:val="0E4194"/>
                <w:sz w:val="16"/>
                <w:szCs w:val="16"/>
              </w:rPr>
              <w:t xml:space="preserve">51.  </w:t>
            </w:r>
            <w:r>
              <w:rPr>
                <w:sz w:val="16"/>
                <w:szCs w:val="16"/>
              </w:rPr>
              <w:t xml:space="preserve">Dumache, R.; Cut, T.; Muresan, C.; Ciocan, V.; Stan, E.; Novacescu, D.; Enache, A. </w:t>
            </w:r>
            <w:r>
              <w:rPr>
                <w:b/>
                <w:bCs/>
                <w:sz w:val="16"/>
                <w:szCs w:val="16"/>
              </w:rPr>
              <w:t xml:space="preserve">Genetic DNA Identification from Bone Remains in Kinship Analysis Using Automate Extraction System. </w:t>
            </w:r>
            <w:r>
              <w:rPr>
                <w:i/>
                <w:iCs/>
                <w:color w:val="555555"/>
                <w:sz w:val="16"/>
                <w:szCs w:val="16"/>
              </w:rPr>
              <w:t xml:space="preserve">Criminology and Post-Mortem Studies - Analyzing Criminal Behaviour and Making Medical Decisions (IntechOpen) 2021. </w:t>
            </w:r>
            <w:hyperlink r:id="rId57" w:history="1">
              <w:r>
                <w:rPr>
                  <w:color w:val="0E4194"/>
                  <w:sz w:val="16"/>
                  <w:szCs w:val="16"/>
                  <w:u w:val="single"/>
                </w:rPr>
                <w:t>https://doi.org/10.5772/intechopen.99587</w:t>
              </w:r>
            </w:hyperlink>
          </w:p>
          <w:p w14:paraId="141665E1" w14:textId="77777777" w:rsidR="0054727D" w:rsidRDefault="0099161C">
            <w:pPr>
              <w:spacing w:after="120"/>
              <w:ind w:left="260" w:hanging="260"/>
              <w:jc w:val="both"/>
            </w:pPr>
            <w:r>
              <w:rPr>
                <w:b/>
                <w:bCs/>
                <w:color w:val="0E4194"/>
                <w:sz w:val="16"/>
                <w:szCs w:val="16"/>
              </w:rPr>
              <w:t xml:space="preserve">52.  </w:t>
            </w:r>
            <w:r>
              <w:rPr>
                <w:sz w:val="16"/>
                <w:szCs w:val="16"/>
              </w:rPr>
              <w:t xml:space="preserve">Marinescu, A.R.; Lăzureanu, V.; Laza, R.; Musta, V.; Nicolescu, N.; Cuț, T.; Dehelean, C.; Oancea, C.; Licker, M. </w:t>
            </w:r>
            <w:r>
              <w:rPr>
                <w:b/>
                <w:bCs/>
                <w:sz w:val="16"/>
                <w:szCs w:val="16"/>
              </w:rPr>
              <w:t xml:space="preserve">Association between ribotype and clinical form of enterocolitis with C. difficile in Western Romania: A 2-year study. </w:t>
            </w:r>
            <w:r>
              <w:rPr>
                <w:i/>
                <w:iCs/>
                <w:color w:val="555555"/>
                <w:sz w:val="16"/>
                <w:szCs w:val="16"/>
              </w:rPr>
              <w:t xml:space="preserve">Experimental and Therapeutic Medicine 2021, 23 (1), 22. </w:t>
            </w:r>
            <w:hyperlink r:id="rId58" w:history="1">
              <w:r>
                <w:rPr>
                  <w:color w:val="0E4194"/>
                  <w:sz w:val="16"/>
                  <w:szCs w:val="16"/>
                  <w:u w:val="single"/>
                </w:rPr>
                <w:t>https://doi.org/10.3892/etm.2021.10944</w:t>
              </w:r>
            </w:hyperlink>
          </w:p>
        </w:tc>
      </w:tr>
    </w:tbl>
    <w:p w14:paraId="0AA93CBF" w14:textId="77777777" w:rsidR="0099161C" w:rsidRDefault="0099161C"/>
    <w:sectPr w:rsidR="0099161C">
      <w:pgSz w:w="11906" w:h="16838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C1218A"/>
    <w:multiLevelType w:val="hybridMultilevel"/>
    <w:tmpl w:val="ABFA2A18"/>
    <w:lvl w:ilvl="0" w:tplc="402E8314">
      <w:start w:val="1"/>
      <w:numFmt w:val="bullet"/>
      <w:lvlText w:val="●"/>
      <w:lvlJc w:val="left"/>
      <w:pPr>
        <w:ind w:left="720" w:hanging="360"/>
      </w:pPr>
    </w:lvl>
    <w:lvl w:ilvl="1" w:tplc="170A5F9C">
      <w:start w:val="1"/>
      <w:numFmt w:val="bullet"/>
      <w:lvlText w:val="○"/>
      <w:lvlJc w:val="left"/>
      <w:pPr>
        <w:ind w:left="1440" w:hanging="360"/>
      </w:pPr>
    </w:lvl>
    <w:lvl w:ilvl="2" w:tplc="553EC19E">
      <w:start w:val="1"/>
      <w:numFmt w:val="bullet"/>
      <w:lvlText w:val="■"/>
      <w:lvlJc w:val="left"/>
      <w:pPr>
        <w:ind w:left="2160" w:hanging="360"/>
      </w:pPr>
    </w:lvl>
    <w:lvl w:ilvl="3" w:tplc="479E01A0">
      <w:start w:val="1"/>
      <w:numFmt w:val="bullet"/>
      <w:lvlText w:val="●"/>
      <w:lvlJc w:val="left"/>
      <w:pPr>
        <w:ind w:left="2880" w:hanging="360"/>
      </w:pPr>
    </w:lvl>
    <w:lvl w:ilvl="4" w:tplc="B428FA34">
      <w:start w:val="1"/>
      <w:numFmt w:val="bullet"/>
      <w:lvlText w:val="○"/>
      <w:lvlJc w:val="left"/>
      <w:pPr>
        <w:ind w:left="3600" w:hanging="360"/>
      </w:pPr>
    </w:lvl>
    <w:lvl w:ilvl="5" w:tplc="2242B0FC">
      <w:start w:val="1"/>
      <w:numFmt w:val="bullet"/>
      <w:lvlText w:val="■"/>
      <w:lvlJc w:val="left"/>
      <w:pPr>
        <w:ind w:left="4320" w:hanging="360"/>
      </w:pPr>
    </w:lvl>
    <w:lvl w:ilvl="6" w:tplc="4358F57E">
      <w:start w:val="1"/>
      <w:numFmt w:val="bullet"/>
      <w:lvlText w:val="●"/>
      <w:lvlJc w:val="left"/>
      <w:pPr>
        <w:ind w:left="5040" w:hanging="360"/>
      </w:pPr>
    </w:lvl>
    <w:lvl w:ilvl="7" w:tplc="A436355A">
      <w:start w:val="1"/>
      <w:numFmt w:val="bullet"/>
      <w:lvlText w:val="●"/>
      <w:lvlJc w:val="left"/>
      <w:pPr>
        <w:ind w:left="5760" w:hanging="360"/>
      </w:pPr>
    </w:lvl>
    <w:lvl w:ilvl="8" w:tplc="3EFA6426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27D"/>
    <w:rsid w:val="00234F3E"/>
    <w:rsid w:val="0054727D"/>
    <w:rsid w:val="006A1112"/>
    <w:rsid w:val="006A2161"/>
    <w:rsid w:val="00991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4E78B"/>
  <w15:docId w15:val="{BEB9E70A-B22D-4BDF-880C-3EFBCE291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222222"/>
        <w:sz w:val="18"/>
        <w:szCs w:val="18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i.org/10.3390/jcdd13030119" TargetMode="External"/><Relationship Id="rId18" Type="http://schemas.openxmlformats.org/officeDocument/2006/relationships/hyperlink" Target="https://doi.org/10.3390/microorganisms13071634" TargetMode="External"/><Relationship Id="rId26" Type="http://schemas.openxmlformats.org/officeDocument/2006/relationships/hyperlink" Target="https://doi.org/10.3390/jpm14060557" TargetMode="External"/><Relationship Id="rId39" Type="http://schemas.openxmlformats.org/officeDocument/2006/relationships/hyperlink" Target="https://doi.org/10.3390/jcm11226777" TargetMode="External"/><Relationship Id="rId21" Type="http://schemas.openxmlformats.org/officeDocument/2006/relationships/hyperlink" Target="https://doi.org/10.3390/jcm15010038" TargetMode="External"/><Relationship Id="rId34" Type="http://schemas.openxmlformats.org/officeDocument/2006/relationships/hyperlink" Target="https://doi.org/10.3390/medicina58020230" TargetMode="External"/><Relationship Id="rId42" Type="http://schemas.openxmlformats.org/officeDocument/2006/relationships/hyperlink" Target="https://doi.org/10.7754/Clin.Lab.2022.220147" TargetMode="External"/><Relationship Id="rId47" Type="http://schemas.openxmlformats.org/officeDocument/2006/relationships/hyperlink" Target="https://doi.org/10.3390/jcm10020199" TargetMode="External"/><Relationship Id="rId50" Type="http://schemas.openxmlformats.org/officeDocument/2006/relationships/hyperlink" Target="https://doi.org/10.3390/jcm10071346" TargetMode="External"/><Relationship Id="rId55" Type="http://schemas.openxmlformats.org/officeDocument/2006/relationships/hyperlink" Target="https://doi.org/10.3390/app11209505" TargetMode="External"/><Relationship Id="rId7" Type="http://schemas.openxmlformats.org/officeDocument/2006/relationships/hyperlink" Target="https://doi.org/10.3390/cancers18050730" TargetMode="External"/><Relationship Id="rId12" Type="http://schemas.openxmlformats.org/officeDocument/2006/relationships/hyperlink" Target="https://doi.org/10.3390/cancers18071080" TargetMode="External"/><Relationship Id="rId17" Type="http://schemas.openxmlformats.org/officeDocument/2006/relationships/hyperlink" Target="https://doi.org/10.3390/diagnostics15151860" TargetMode="External"/><Relationship Id="rId25" Type="http://schemas.openxmlformats.org/officeDocument/2006/relationships/hyperlink" Target="https://doi.org/10.3390/cancers16223841" TargetMode="External"/><Relationship Id="rId33" Type="http://schemas.openxmlformats.org/officeDocument/2006/relationships/hyperlink" Target="https://doi.org/10.3390/jcm12062208" TargetMode="External"/><Relationship Id="rId38" Type="http://schemas.openxmlformats.org/officeDocument/2006/relationships/hyperlink" Target="https://doi.org/10.2147/IDR.S363716" TargetMode="External"/><Relationship Id="rId46" Type="http://schemas.openxmlformats.org/officeDocument/2006/relationships/hyperlink" Target="https://doi.org/10.5772/intechopen.98167" TargetMode="External"/><Relationship Id="rId59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doi.org/10.3390/cancers17152595" TargetMode="External"/><Relationship Id="rId20" Type="http://schemas.openxmlformats.org/officeDocument/2006/relationships/hyperlink" Target="https://doi.org/10.3390/microorganisms13081768" TargetMode="External"/><Relationship Id="rId29" Type="http://schemas.openxmlformats.org/officeDocument/2006/relationships/hyperlink" Target="https://doi.org/10.3390/pathogens12040620" TargetMode="External"/><Relationship Id="rId41" Type="http://schemas.openxmlformats.org/officeDocument/2006/relationships/hyperlink" Target="https://doi.org/10.3390/biomedicines10112673" TargetMode="External"/><Relationship Id="rId54" Type="http://schemas.openxmlformats.org/officeDocument/2006/relationships/hyperlink" Target="https://doi.org/10.7754/Clin.Lab.2020.20070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webofscience.com/wos/author/record/ABF-6558-2021" TargetMode="External"/><Relationship Id="rId11" Type="http://schemas.openxmlformats.org/officeDocument/2006/relationships/hyperlink" Target="https://doi.org/10.3390/microorganisms14040916" TargetMode="External"/><Relationship Id="rId24" Type="http://schemas.openxmlformats.org/officeDocument/2006/relationships/hyperlink" Target="https://doi.org/10.3390/jcm13144188" TargetMode="External"/><Relationship Id="rId32" Type="http://schemas.openxmlformats.org/officeDocument/2006/relationships/hyperlink" Target="https://doi.org/10.2147/JMDH.S424563" TargetMode="External"/><Relationship Id="rId37" Type="http://schemas.openxmlformats.org/officeDocument/2006/relationships/hyperlink" Target="https://doi.org/10.3390/biomedicines10071519" TargetMode="External"/><Relationship Id="rId40" Type="http://schemas.openxmlformats.org/officeDocument/2006/relationships/hyperlink" Target="https://doi.org/10.3390/biomedicines10040912" TargetMode="External"/><Relationship Id="rId45" Type="http://schemas.openxmlformats.org/officeDocument/2006/relationships/hyperlink" Target="https://doi.org/10.2147/IJGM.S350920" TargetMode="External"/><Relationship Id="rId53" Type="http://schemas.openxmlformats.org/officeDocument/2006/relationships/hyperlink" Target="https://doi.org/10.3390/medicina57101099" TargetMode="External"/><Relationship Id="rId58" Type="http://schemas.openxmlformats.org/officeDocument/2006/relationships/hyperlink" Target="https://doi.org/10.3892/etm.2021.10944" TargetMode="External"/><Relationship Id="rId5" Type="http://schemas.openxmlformats.org/officeDocument/2006/relationships/hyperlink" Target="https://www.webofscience.com/wos/author/record/ABF-6558-2021" TargetMode="External"/><Relationship Id="rId15" Type="http://schemas.openxmlformats.org/officeDocument/2006/relationships/hyperlink" Target="https://doi.org/10.3390/medicina61030469" TargetMode="External"/><Relationship Id="rId23" Type="http://schemas.openxmlformats.org/officeDocument/2006/relationships/hyperlink" Target="https://doi.org/10.3390/biomedicines12122908" TargetMode="External"/><Relationship Id="rId28" Type="http://schemas.openxmlformats.org/officeDocument/2006/relationships/hyperlink" Target="https://doi.org/10.3390/life14070838" TargetMode="External"/><Relationship Id="rId36" Type="http://schemas.openxmlformats.org/officeDocument/2006/relationships/hyperlink" Target="https://doi.org/10.3390/biomedicines10112926" TargetMode="External"/><Relationship Id="rId49" Type="http://schemas.openxmlformats.org/officeDocument/2006/relationships/hyperlink" Target="https://doi.org/10.3390/jpm11030225" TargetMode="External"/><Relationship Id="rId57" Type="http://schemas.openxmlformats.org/officeDocument/2006/relationships/hyperlink" Target="https://doi.org/10.5772/intechopen.99587" TargetMode="External"/><Relationship Id="rId10" Type="http://schemas.openxmlformats.org/officeDocument/2006/relationships/hyperlink" Target="https://doi.org/10.3390/jcm15083141" TargetMode="External"/><Relationship Id="rId19" Type="http://schemas.openxmlformats.org/officeDocument/2006/relationships/hyperlink" Target="https://doi.org/10.3390/ijms26178117" TargetMode="External"/><Relationship Id="rId31" Type="http://schemas.openxmlformats.org/officeDocument/2006/relationships/hyperlink" Target="https://doi.org/10.3390/jpm13020195" TargetMode="External"/><Relationship Id="rId44" Type="http://schemas.openxmlformats.org/officeDocument/2006/relationships/hyperlink" Target="https://doi.org/10.7754/Clin.Lab.2021.210327" TargetMode="External"/><Relationship Id="rId52" Type="http://schemas.openxmlformats.org/officeDocument/2006/relationships/hyperlink" Target="https://doi.org/10.3390/jcm10225272" TargetMode="External"/><Relationship Id="rId6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3390/ijms27094079" TargetMode="External"/><Relationship Id="rId14" Type="http://schemas.openxmlformats.org/officeDocument/2006/relationships/hyperlink" Target="https://doi.org/10.3390/diseases14020077" TargetMode="External"/><Relationship Id="rId22" Type="http://schemas.openxmlformats.org/officeDocument/2006/relationships/hyperlink" Target="https://doi.org/10.3390/ijms252212195" TargetMode="External"/><Relationship Id="rId27" Type="http://schemas.openxmlformats.org/officeDocument/2006/relationships/hyperlink" Target="https://doi.org/10.3390/biomedicines12040774" TargetMode="External"/><Relationship Id="rId30" Type="http://schemas.openxmlformats.org/officeDocument/2006/relationships/hyperlink" Target="https://doi.org/10.3390/life13122337" TargetMode="External"/><Relationship Id="rId35" Type="http://schemas.openxmlformats.org/officeDocument/2006/relationships/hyperlink" Target="https://doi.org/10.3390/jpm12010046" TargetMode="External"/><Relationship Id="rId43" Type="http://schemas.openxmlformats.org/officeDocument/2006/relationships/hyperlink" Target="https://doi.org/10.2147/IJGM.S389300" TargetMode="External"/><Relationship Id="rId48" Type="http://schemas.openxmlformats.org/officeDocument/2006/relationships/hyperlink" Target="https://doi.org/10.3390/biology10060469" TargetMode="External"/><Relationship Id="rId56" Type="http://schemas.openxmlformats.org/officeDocument/2006/relationships/hyperlink" Target="https://doi.org/10.3390/healthcare9070800" TargetMode="External"/><Relationship Id="rId8" Type="http://schemas.openxmlformats.org/officeDocument/2006/relationships/hyperlink" Target="https://doi.org/10.3390/diagnostics16101469" TargetMode="External"/><Relationship Id="rId51" Type="http://schemas.openxmlformats.org/officeDocument/2006/relationships/hyperlink" Target="https://doi.org/10.3390/brainsci11101287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3629</Words>
  <Characters>20691</Characters>
  <Application>Microsoft Office Word</Application>
  <DocSecurity>0</DocSecurity>
  <Lines>172</Lines>
  <Paragraphs>48</Paragraphs>
  <ScaleCrop>false</ScaleCrop>
  <Company/>
  <LinksUpToDate>false</LinksUpToDate>
  <CharactersWithSpaces>24272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creator>Talida Georgiana Novăcescu</dc:creator>
  <cp:lastModifiedBy>Windows User</cp:lastModifiedBy>
  <cp:revision>2</cp:revision>
  <dcterms:created xsi:type="dcterms:W3CDTF">2026-06-04T19:15:00Z</dcterms:created>
  <dcterms:modified xsi:type="dcterms:W3CDTF">2026-06-09T11:28:00Z</dcterms:modified>
</cp:coreProperties>
</file>