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0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52"/>
        <w:gridCol w:w="7154"/>
      </w:tblGrid>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160" w:type="dxa"/>
              <w:right w:w="130" w:type="dxa"/>
            </w:tcMar>
          </w:tcPr>
          <w:p w:rsidR="006E4B97" w:rsidRDefault="008A0702">
            <w:pPr>
              <w:spacing w:after="40"/>
              <w:jc w:val="right"/>
            </w:pPr>
            <w:r>
              <w:rPr>
                <w:b/>
                <w:bCs/>
                <w:color w:val="003399"/>
                <w:sz w:val="32"/>
                <w:szCs w:val="32"/>
              </w:rPr>
              <w:t>europass</w:t>
            </w:r>
          </w:p>
          <w:p w:rsidR="006E4B97" w:rsidRDefault="008A0702">
            <w:pPr>
              <w:jc w:val="right"/>
            </w:pPr>
            <w:r>
              <w:rPr>
                <w:color w:val="FFD700"/>
                <w:sz w:val="28"/>
                <w:szCs w:val="28"/>
              </w:rPr>
              <w:t>★</w:t>
            </w:r>
          </w:p>
        </w:tc>
        <w:tc>
          <w:tcPr>
            <w:tcW w:w="7154" w:type="dxa"/>
            <w:tcBorders>
              <w:top w:val="none" w:sz="0" w:space="0" w:color="FFFFFF"/>
              <w:left w:val="none" w:sz="0" w:space="0" w:color="FFFFFF"/>
              <w:bottom w:val="none" w:sz="0" w:space="0" w:color="FFFFFF"/>
              <w:right w:val="none" w:sz="0" w:space="0" w:color="FFFFFF"/>
            </w:tcBorders>
            <w:tcMar>
              <w:top w:w="0" w:type="dxa"/>
              <w:left w:w="140" w:type="dxa"/>
              <w:bottom w:w="160" w:type="dxa"/>
              <w:right w:w="0" w:type="dxa"/>
            </w:tcMar>
          </w:tcPr>
          <w:p w:rsidR="006E4B97" w:rsidRDefault="008A0702">
            <w:pPr>
              <w:spacing w:after="20"/>
            </w:pPr>
            <w:r>
              <w:rPr>
                <w:b/>
                <w:bCs/>
                <w:color w:val="1F1F1F"/>
                <w:sz w:val="32"/>
                <w:szCs w:val="32"/>
              </w:rPr>
              <w:t>Curriculum vitae</w:t>
            </w:r>
          </w:p>
          <w:p w:rsidR="006E4B97" w:rsidRDefault="008A0702">
            <w:r>
              <w:rPr>
                <w:b/>
                <w:bCs/>
                <w:color w:val="1F1F1F"/>
                <w:sz w:val="32"/>
                <w:szCs w:val="32"/>
              </w:rPr>
              <w:t>Europass</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200" w:type="dxa"/>
              <w:left w:w="0" w:type="dxa"/>
              <w:bottom w:w="80" w:type="dxa"/>
              <w:right w:w="130" w:type="dxa"/>
            </w:tcMar>
            <w:vAlign w:val="bottom"/>
          </w:tcPr>
          <w:p w:rsidR="006E4B97" w:rsidRDefault="008A0702">
            <w:pPr>
              <w:jc w:val="right"/>
            </w:pPr>
            <w:r>
              <w:rPr>
                <w:b/>
                <w:bCs/>
                <w:color w:val="1F1F1F"/>
                <w:sz w:val="22"/>
                <w:szCs w:val="22"/>
              </w:rPr>
              <w:t>Informații personale</w:t>
            </w:r>
          </w:p>
        </w:tc>
        <w:tc>
          <w:tcPr>
            <w:tcW w:w="7154" w:type="dxa"/>
            <w:tcBorders>
              <w:top w:val="none" w:sz="0" w:space="0" w:color="FFFFFF"/>
              <w:left w:val="single" w:sz="2" w:space="0" w:color="AAAAAA"/>
              <w:bottom w:val="single" w:sz="8" w:space="0" w:color="AAAAAA"/>
              <w:right w:val="none" w:sz="0" w:space="0" w:color="FFFFFF"/>
            </w:tcBorders>
            <w:tcMar>
              <w:top w:w="200" w:type="dxa"/>
              <w:left w:w="140" w:type="dxa"/>
              <w:bottom w:w="8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Nume / Prenume</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b/>
                <w:bCs/>
                <w:color w:val="1F1F1F"/>
                <w:sz w:val="26"/>
                <w:szCs w:val="26"/>
              </w:rPr>
              <w:t>MIUTESCU BOGDAN PETRU</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6E4B97">
            <w:pPr>
              <w:jc w:val="right"/>
            </w:pP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6E4B97">
            <w:pPr>
              <w:jc w:val="right"/>
            </w:pP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6E4B97">
            <w:pPr>
              <w:jc w:val="right"/>
            </w:pP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6E4B97">
            <w:pPr>
              <w:jc w:val="right"/>
            </w:pP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6E4B97">
            <w:pPr>
              <w:jc w:val="right"/>
            </w:pP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6E4B97">
            <w:pPr>
              <w:jc w:val="right"/>
            </w:pPr>
            <w:bookmarkStart w:id="0" w:name="_GoBack"/>
            <w:bookmarkEnd w:id="0"/>
          </w:p>
        </w:tc>
        <w:tc>
          <w:tcPr>
            <w:tcW w:w="7154" w:type="dxa"/>
            <w:tcBorders>
              <w:top w:val="none" w:sz="0" w:space="0" w:color="FFFFFF"/>
              <w:left w:val="single" w:sz="2" w:space="0" w:color="AAAAAA"/>
              <w:bottom w:val="single" w:sz="5" w:space="0" w:color="888888"/>
              <w:right w:val="none" w:sz="0" w:space="0" w:color="FFFFFF"/>
            </w:tcBorders>
            <w:tcMar>
              <w:top w:w="50" w:type="dxa"/>
              <w:left w:w="140" w:type="dxa"/>
              <w:bottom w:w="5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200" w:type="dxa"/>
              <w:left w:w="0" w:type="dxa"/>
              <w:bottom w:w="80" w:type="dxa"/>
              <w:right w:w="130" w:type="dxa"/>
            </w:tcMar>
            <w:vAlign w:val="bottom"/>
          </w:tcPr>
          <w:p w:rsidR="006E4B97" w:rsidRDefault="008A0702">
            <w:pPr>
              <w:jc w:val="right"/>
            </w:pPr>
            <w:r>
              <w:rPr>
                <w:b/>
                <w:bCs/>
                <w:color w:val="1F1F1F"/>
                <w:sz w:val="22"/>
                <w:szCs w:val="22"/>
              </w:rPr>
              <w:t>Poziții curente</w:t>
            </w:r>
          </w:p>
        </w:tc>
        <w:tc>
          <w:tcPr>
            <w:tcW w:w="7154" w:type="dxa"/>
            <w:tcBorders>
              <w:top w:val="none" w:sz="0" w:space="0" w:color="FFFFFF"/>
              <w:left w:val="single" w:sz="2" w:space="0" w:color="AAAAAA"/>
              <w:bottom w:val="single" w:sz="8" w:space="0" w:color="AAAAAA"/>
              <w:right w:val="none" w:sz="0" w:space="0" w:color="FFFFFF"/>
            </w:tcBorders>
            <w:tcMar>
              <w:top w:w="200" w:type="dxa"/>
              <w:left w:w="140" w:type="dxa"/>
              <w:bottom w:w="8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6E4B97">
            <w:pPr>
              <w:jc w:val="right"/>
            </w:pP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Pr="00A54234" w:rsidRDefault="008A0702">
            <w:pPr>
              <w:spacing w:before="30" w:after="30"/>
              <w:rPr>
                <w:lang w:val="fr-FR"/>
              </w:rPr>
            </w:pPr>
            <w:r w:rsidRPr="00A54234">
              <w:rPr>
                <w:sz w:val="18"/>
                <w:szCs w:val="18"/>
                <w:lang w:val="fr-FR"/>
              </w:rPr>
              <w:t>2015 – prezent: Asistent universitar, Departamentul de Gastroenterologie și Hepatologie, Universitatea de Medicină și Farmacie „Victor Babeș" Timișoara</w:t>
            </w:r>
          </w:p>
          <w:p w:rsidR="006E4B97" w:rsidRDefault="008A0702">
            <w:pPr>
              <w:spacing w:before="30" w:after="30"/>
            </w:pPr>
            <w:r>
              <w:rPr>
                <w:sz w:val="18"/>
                <w:szCs w:val="18"/>
              </w:rPr>
              <w:t>2015 – prezent: Medic specialist Gastroenterolog, Spitalul Clinic Județean de Urgență „Pius Brânzeu" Timișoara</w:t>
            </w:r>
          </w:p>
          <w:p w:rsidR="006E4B97" w:rsidRDefault="008A0702">
            <w:pPr>
              <w:spacing w:before="30" w:after="30"/>
            </w:pPr>
            <w:r>
              <w:rPr>
                <w:sz w:val="18"/>
                <w:szCs w:val="18"/>
              </w:rPr>
              <w:t xml:space="preserve">2021 – prezent: </w:t>
            </w:r>
            <w:r w:rsidR="00974AED">
              <w:rPr>
                <w:sz w:val="18"/>
                <w:szCs w:val="18"/>
              </w:rPr>
              <w:t>Medic primar</w:t>
            </w:r>
            <w:r>
              <w:rPr>
                <w:sz w:val="18"/>
                <w:szCs w:val="18"/>
              </w:rPr>
              <w:t xml:space="preserve"> în Gastroenterologie, Spitalul Clinic Județean de Urgență „Pius Brânzeu" Timișoara</w:t>
            </w:r>
          </w:p>
          <w:p w:rsidR="006E4B97" w:rsidRDefault="008A0702">
            <w:pPr>
              <w:spacing w:before="30" w:after="30"/>
            </w:pPr>
            <w:r>
              <w:rPr>
                <w:sz w:val="18"/>
                <w:szCs w:val="18"/>
              </w:rPr>
              <w:t>2020 – prezent: Membru al Advanced Research Center, UMF „Victor Babeș" Timișoara</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200" w:type="dxa"/>
              <w:left w:w="0" w:type="dxa"/>
              <w:bottom w:w="80" w:type="dxa"/>
              <w:right w:w="130" w:type="dxa"/>
            </w:tcMar>
            <w:vAlign w:val="bottom"/>
          </w:tcPr>
          <w:p w:rsidR="006E4B97" w:rsidRDefault="008A0702">
            <w:pPr>
              <w:jc w:val="right"/>
            </w:pPr>
            <w:r>
              <w:rPr>
                <w:b/>
                <w:bCs/>
                <w:color w:val="1F1F1F"/>
                <w:sz w:val="22"/>
                <w:szCs w:val="22"/>
              </w:rPr>
              <w:t>Experiență profesională</w:t>
            </w:r>
          </w:p>
        </w:tc>
        <w:tc>
          <w:tcPr>
            <w:tcW w:w="7154" w:type="dxa"/>
            <w:tcBorders>
              <w:top w:val="none" w:sz="0" w:space="0" w:color="FFFFFF"/>
              <w:left w:val="single" w:sz="2" w:space="0" w:color="AAAAAA"/>
              <w:bottom w:val="single" w:sz="8" w:space="0" w:color="AAAAAA"/>
              <w:right w:val="none" w:sz="0" w:space="0" w:color="FFFFFF"/>
            </w:tcBorders>
            <w:tcMar>
              <w:top w:w="200" w:type="dxa"/>
              <w:left w:w="140" w:type="dxa"/>
              <w:bottom w:w="8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Perioada</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2015 – prezent</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Funcția sau postul ocupat</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267A07">
            <w:r>
              <w:rPr>
                <w:color w:val="1F1F1F"/>
              </w:rPr>
              <w:t xml:space="preserve">Asistent universitar </w:t>
            </w:r>
          </w:p>
        </w:tc>
      </w:tr>
      <w:tr w:rsidR="006E4B97" w:rsidRPr="00A54234"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Activități principale</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Pr="00A54234" w:rsidRDefault="008A0702">
            <w:pPr>
              <w:rPr>
                <w:lang w:val="fr-FR"/>
              </w:rPr>
            </w:pPr>
            <w:r w:rsidRPr="00A54234">
              <w:rPr>
                <w:color w:val="1F1F1F"/>
                <w:lang w:val="fr-FR"/>
              </w:rPr>
              <w:t>Disciplina de Gastroenterologie și Hepatologie</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Angajator</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Universitatea de Medicină și Farmacie „Victor Babeș", Str. Eftimie Murgu nr. 2, Timișoara (România)</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Sectorul de activitate</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Învățământ superior, cercetare-dezvoltare</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6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6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Perioada</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2021 – prezent</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Funcția sau postul ocupat</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267A07">
            <w:r>
              <w:rPr>
                <w:color w:val="1F1F1F"/>
              </w:rPr>
              <w:t>Medic primar</w:t>
            </w:r>
            <w:r w:rsidR="008A0702">
              <w:rPr>
                <w:color w:val="1F1F1F"/>
              </w:rPr>
              <w:t xml:space="preserve"> Gastroenterologie</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Angajator</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Spitalul Clinic Județean de Urgență „Pius Brânzeu" Timișoara</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Sectorul de activitate</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Gastroenterologie – hepatologie – endoscopie digestivă</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6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6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Perioada</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2015 – prezent</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Funcția sau postul ocupat</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Medic specialist Gastroenterolog</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Angajator</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Spitalul Clinic Județean de Urgență „Pius Brânzeu" Timișoara</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Sectorul de activitate</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Gastroenterologie</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6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6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Perioada</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2012 – 2015</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Funcția sau postul ocupat</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Rezidențiat Gastroenterologie</w:t>
            </w:r>
          </w:p>
        </w:tc>
      </w:tr>
      <w:tr w:rsidR="006E4B97" w:rsidRPr="00A54234"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Angajator</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Pr="00A54234" w:rsidRDefault="008A0702">
            <w:pPr>
              <w:rPr>
                <w:lang w:val="fr-FR"/>
              </w:rPr>
            </w:pPr>
            <w:r w:rsidRPr="00A54234">
              <w:rPr>
                <w:color w:val="1F1F1F"/>
                <w:lang w:val="fr-FR"/>
              </w:rPr>
              <w:t>Institutul Regional de Gastroenterologie și Hepatologie „Octavian Fodor" Cluj-Napoca</w:t>
            </w:r>
          </w:p>
        </w:tc>
      </w:tr>
      <w:tr w:rsidR="006E4B97" w:rsidRPr="00A54234"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Pr="00A54234" w:rsidRDefault="006E4B97">
            <w:pPr>
              <w:spacing w:after="60"/>
              <w:rPr>
                <w:lang w:val="fr-FR"/>
              </w:rPr>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Pr="00A54234" w:rsidRDefault="006E4B97">
            <w:pPr>
              <w:spacing w:after="60"/>
              <w:rPr>
                <w:lang w:val="fr-FR"/>
              </w:rPr>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Perioada</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2008 – 2013</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Funcția sau postul ocupat</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267A07">
            <w:r>
              <w:rPr>
                <w:color w:val="1F1F1F"/>
              </w:rPr>
              <w:t xml:space="preserve">Asistent universitar </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Angajator</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Universitatea de Vest „Vasile Goldiș" – Facultatea de Medicină și Farmacie, Arad</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6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6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Perioada</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2008 – 2012</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Funcția sau postul ocupat</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Rezidențiat Medicină Internă</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Angajator</w:t>
            </w:r>
          </w:p>
        </w:tc>
        <w:tc>
          <w:tcPr>
            <w:tcW w:w="7154" w:type="dxa"/>
            <w:tcBorders>
              <w:top w:val="none" w:sz="0" w:space="0" w:color="FFFFFF"/>
              <w:left w:val="single" w:sz="2" w:space="0" w:color="AAAAAA"/>
              <w:bottom w:val="single" w:sz="5" w:space="0" w:color="888888"/>
              <w:right w:val="none" w:sz="0" w:space="0" w:color="FFFFFF"/>
            </w:tcBorders>
            <w:tcMar>
              <w:top w:w="50" w:type="dxa"/>
              <w:left w:w="140" w:type="dxa"/>
              <w:bottom w:w="50" w:type="dxa"/>
              <w:right w:w="0" w:type="dxa"/>
            </w:tcMar>
          </w:tcPr>
          <w:p w:rsidR="006E4B97" w:rsidRDefault="008A0702">
            <w:r>
              <w:rPr>
                <w:color w:val="1F1F1F"/>
              </w:rPr>
              <w:t>Spitalul Clinic Județean de Urgență Arad</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200" w:type="dxa"/>
              <w:left w:w="0" w:type="dxa"/>
              <w:bottom w:w="80" w:type="dxa"/>
              <w:right w:w="130" w:type="dxa"/>
            </w:tcMar>
            <w:vAlign w:val="bottom"/>
          </w:tcPr>
          <w:p w:rsidR="006E4B97" w:rsidRDefault="008A0702">
            <w:pPr>
              <w:jc w:val="right"/>
            </w:pPr>
            <w:r>
              <w:rPr>
                <w:b/>
                <w:bCs/>
                <w:color w:val="1F1F1F"/>
                <w:sz w:val="22"/>
                <w:szCs w:val="22"/>
              </w:rPr>
              <w:t>Educație și formare</w:t>
            </w:r>
          </w:p>
        </w:tc>
        <w:tc>
          <w:tcPr>
            <w:tcW w:w="7154" w:type="dxa"/>
            <w:tcBorders>
              <w:top w:val="none" w:sz="0" w:space="0" w:color="FFFFFF"/>
              <w:left w:val="single" w:sz="2" w:space="0" w:color="AAAAAA"/>
              <w:bottom w:val="single" w:sz="8" w:space="0" w:color="AAAAAA"/>
              <w:right w:val="none" w:sz="0" w:space="0" w:color="FFFFFF"/>
            </w:tcBorders>
            <w:tcMar>
              <w:top w:w="200" w:type="dxa"/>
              <w:left w:w="140" w:type="dxa"/>
              <w:bottom w:w="8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Perioada</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2008 – 2013</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Calificarea obținută</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Doctor în Științe Medicale – Magna Cum Laude</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Tema tezei</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974AED">
            <w:r>
              <w:rPr>
                <w:color w:val="1F1F1F"/>
              </w:rPr>
              <w:t>IMUNOTESTUL</w:t>
            </w:r>
            <w:r w:rsidR="00267A07">
              <w:rPr>
                <w:color w:val="1F1F1F"/>
              </w:rPr>
              <w:t xml:space="preserve"> FECAL ÎN SCREENINGUL CANCERULUI COLORECTAL</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Instituție</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Universitatea de Medicină și Farmacie „Victor Babeș"</w:t>
            </w:r>
            <w:r w:rsidR="00267A07">
              <w:rPr>
                <w:color w:val="1F1F1F"/>
              </w:rPr>
              <w:t xml:space="preserve"> din</w:t>
            </w:r>
            <w:r>
              <w:rPr>
                <w:color w:val="1F1F1F"/>
              </w:rPr>
              <w:t xml:space="preserve"> Timișoara</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Nivel</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Doctor</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6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6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Perioada</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2024</w:t>
            </w:r>
          </w:p>
        </w:tc>
      </w:tr>
      <w:tr w:rsidR="006E4B97" w:rsidRPr="00A54234"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Calificarea obținută</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Pr="00A54234" w:rsidRDefault="008A0702">
            <w:pPr>
              <w:rPr>
                <w:lang w:val="fr-FR"/>
              </w:rPr>
            </w:pPr>
            <w:r w:rsidRPr="00A54234">
              <w:rPr>
                <w:color w:val="1F1F1F"/>
                <w:lang w:val="fr-FR"/>
              </w:rPr>
              <w:t>Certificare Limbă Franceză – Nivel B2</w:t>
            </w:r>
          </w:p>
        </w:tc>
      </w:tr>
      <w:tr w:rsidR="006E4B97" w:rsidRPr="00A54234"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Pr="00A54234" w:rsidRDefault="006E4B97">
            <w:pPr>
              <w:spacing w:after="60"/>
              <w:rPr>
                <w:lang w:val="fr-FR"/>
              </w:rPr>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Pr="00A54234" w:rsidRDefault="006E4B97">
            <w:pPr>
              <w:spacing w:after="60"/>
              <w:rPr>
                <w:lang w:val="fr-FR"/>
              </w:rPr>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Perioada</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2020</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Calificarea obținută</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 xml:space="preserve">Certificat Pedagogic Nivel 2 – Universitatea de </w:t>
            </w:r>
            <w:r w:rsidR="00267A07">
              <w:rPr>
                <w:color w:val="1F1F1F"/>
              </w:rPr>
              <w:t xml:space="preserve">Vest „Vasile Goldiș" </w:t>
            </w:r>
            <w:r>
              <w:rPr>
                <w:color w:val="1F1F1F"/>
              </w:rPr>
              <w:t>Arad</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6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6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Perioada</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2015</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Calificarea obținută</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Certificat Pedagogic Nivel 1 – Universitatea de Vest „Vasile Goldiș" Arad</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6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6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Perioada</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1996 – 2001</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Calificarea obținută</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Bacalaureat – Secția reală</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Instituție</w:t>
            </w:r>
          </w:p>
        </w:tc>
        <w:tc>
          <w:tcPr>
            <w:tcW w:w="7154" w:type="dxa"/>
            <w:tcBorders>
              <w:top w:val="none" w:sz="0" w:space="0" w:color="FFFFFF"/>
              <w:left w:val="single" w:sz="2" w:space="0" w:color="AAAAAA"/>
              <w:bottom w:val="single" w:sz="5" w:space="0" w:color="888888"/>
              <w:right w:val="none" w:sz="0" w:space="0" w:color="FFFFFF"/>
            </w:tcBorders>
            <w:tcMar>
              <w:top w:w="50" w:type="dxa"/>
              <w:left w:w="140" w:type="dxa"/>
              <w:bottom w:w="50" w:type="dxa"/>
              <w:right w:w="0" w:type="dxa"/>
            </w:tcMar>
          </w:tcPr>
          <w:p w:rsidR="006E4B97" w:rsidRDefault="008A0702">
            <w:r>
              <w:rPr>
                <w:color w:val="1F1F1F"/>
              </w:rPr>
              <w:t>Colegiul Național „Moise Nicoară" Arad</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200" w:type="dxa"/>
              <w:left w:w="0" w:type="dxa"/>
              <w:bottom w:w="80" w:type="dxa"/>
              <w:right w:w="130" w:type="dxa"/>
            </w:tcMar>
            <w:vAlign w:val="bottom"/>
          </w:tcPr>
          <w:p w:rsidR="006E4B97" w:rsidRDefault="008A0702">
            <w:pPr>
              <w:jc w:val="right"/>
            </w:pPr>
            <w:r>
              <w:rPr>
                <w:b/>
                <w:bCs/>
                <w:color w:val="1F1F1F"/>
                <w:sz w:val="22"/>
                <w:szCs w:val="22"/>
              </w:rPr>
              <w:t>Activitate didactică</w:t>
            </w:r>
          </w:p>
        </w:tc>
        <w:tc>
          <w:tcPr>
            <w:tcW w:w="7154" w:type="dxa"/>
            <w:tcBorders>
              <w:top w:val="none" w:sz="0" w:space="0" w:color="FFFFFF"/>
              <w:left w:val="single" w:sz="2" w:space="0" w:color="AAAAAA"/>
              <w:bottom w:val="single" w:sz="8" w:space="0" w:color="AAAAAA"/>
              <w:right w:val="none" w:sz="0" w:space="0" w:color="FFFFFF"/>
            </w:tcBorders>
            <w:tcMar>
              <w:top w:w="200" w:type="dxa"/>
              <w:left w:w="140" w:type="dxa"/>
              <w:bottom w:w="8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2017 – prezent</w:t>
            </w:r>
          </w:p>
        </w:tc>
        <w:tc>
          <w:tcPr>
            <w:tcW w:w="7154" w:type="dxa"/>
            <w:tcBorders>
              <w:top w:val="none" w:sz="0" w:space="0" w:color="FFFFFF"/>
              <w:left w:val="single" w:sz="2" w:space="0" w:color="AAAAAA"/>
              <w:bottom w:val="single" w:sz="5" w:space="0" w:color="888888"/>
              <w:right w:val="none" w:sz="0" w:space="0" w:color="FFFFFF"/>
            </w:tcBorders>
            <w:tcMar>
              <w:top w:w="50" w:type="dxa"/>
              <w:left w:w="140" w:type="dxa"/>
              <w:bottom w:w="50" w:type="dxa"/>
              <w:right w:w="0" w:type="dxa"/>
            </w:tcMar>
          </w:tcPr>
          <w:p w:rsidR="006E4B97" w:rsidRDefault="00267A07">
            <w:r>
              <w:rPr>
                <w:color w:val="1F1F1F"/>
                <w:lang w:val="ro-RO"/>
              </w:rPr>
              <w:t>Îndrumător</w:t>
            </w:r>
            <w:r>
              <w:rPr>
                <w:color w:val="1F1F1F"/>
              </w:rPr>
              <w:t xml:space="preserve"> rezidenți în clinica de Gastroenterologie și hepatologie Spitalul Clinic Județean de Urgență</w:t>
            </w:r>
            <w:r w:rsidR="008A0702">
              <w:rPr>
                <w:color w:val="1F1F1F"/>
              </w:rPr>
              <w:t xml:space="preserve"> Timișoara</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200" w:type="dxa"/>
              <w:left w:w="0" w:type="dxa"/>
              <w:bottom w:w="80" w:type="dxa"/>
              <w:right w:w="130" w:type="dxa"/>
            </w:tcMar>
            <w:vAlign w:val="bottom"/>
          </w:tcPr>
          <w:p w:rsidR="006E4B97" w:rsidRDefault="008A0702">
            <w:pPr>
              <w:jc w:val="right"/>
            </w:pPr>
            <w:r>
              <w:rPr>
                <w:b/>
                <w:bCs/>
                <w:color w:val="1F1F1F"/>
                <w:sz w:val="22"/>
                <w:szCs w:val="22"/>
              </w:rPr>
              <w:t>Aptitudini și competențe profesionale</w:t>
            </w:r>
          </w:p>
        </w:tc>
        <w:tc>
          <w:tcPr>
            <w:tcW w:w="7154" w:type="dxa"/>
            <w:tcBorders>
              <w:top w:val="none" w:sz="0" w:space="0" w:color="FFFFFF"/>
              <w:left w:val="single" w:sz="2" w:space="0" w:color="AAAAAA"/>
              <w:bottom w:val="single" w:sz="8" w:space="0" w:color="AAAAAA"/>
              <w:right w:val="none" w:sz="0" w:space="0" w:color="FFFFFF"/>
            </w:tcBorders>
            <w:tcMar>
              <w:top w:w="200" w:type="dxa"/>
              <w:left w:w="140" w:type="dxa"/>
              <w:bottom w:w="8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Domenii de interes</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pPr>
              <w:spacing w:after="20"/>
            </w:pPr>
            <w:r>
              <w:t>Screening colorectal și gastric</w:t>
            </w:r>
          </w:p>
          <w:p w:rsidR="006E4B97" w:rsidRDefault="008A0702">
            <w:pPr>
              <w:spacing w:after="20"/>
            </w:pPr>
            <w:r>
              <w:t>Ultrasonografie endoscopică (EUS) intervențională</w:t>
            </w:r>
          </w:p>
          <w:p w:rsidR="006E4B97" w:rsidRDefault="007C04C5" w:rsidP="007C04C5">
            <w:r>
              <w:t>ERCP – colangită acută</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Activitate Științifică</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pPr>
              <w:pStyle w:val="ListParagraph"/>
              <w:numPr>
                <w:ilvl w:val="0"/>
                <w:numId w:val="2"/>
              </w:numPr>
              <w:spacing w:after="20"/>
            </w:pPr>
            <w:r>
              <w:t>Articole publicate:</w:t>
            </w:r>
            <w:r w:rsidR="007C04C5">
              <w:t xml:space="preserve"> </w:t>
            </w:r>
            <w:r>
              <w:t xml:space="preserve"> </w:t>
            </w:r>
            <w:r w:rsidR="007C04C5">
              <w:t>68</w:t>
            </w:r>
          </w:p>
          <w:p w:rsidR="006E4B97" w:rsidRDefault="008A0702" w:rsidP="007C04C5">
            <w:pPr>
              <w:pStyle w:val="ListParagraph"/>
              <w:numPr>
                <w:ilvl w:val="0"/>
                <w:numId w:val="2"/>
              </w:numPr>
              <w:spacing w:after="20"/>
            </w:pPr>
            <w:r>
              <w:t>Capitole de carte publicate: 5</w:t>
            </w:r>
          </w:p>
          <w:p w:rsidR="006E4B97" w:rsidRDefault="008A0702">
            <w:pPr>
              <w:pStyle w:val="ListParagraph"/>
              <w:numPr>
                <w:ilvl w:val="0"/>
                <w:numId w:val="2"/>
              </w:numPr>
              <w:spacing w:after="20"/>
            </w:pPr>
            <w:r>
              <w:t>Studii clinice: 1 (subinvestigator – studiu faza III Ulcerative Colitis)</w:t>
            </w:r>
          </w:p>
          <w:p w:rsidR="006E4B97" w:rsidRDefault="008A0702">
            <w:pPr>
              <w:pStyle w:val="ListParagraph"/>
              <w:numPr>
                <w:ilvl w:val="0"/>
                <w:numId w:val="2"/>
              </w:numPr>
            </w:pPr>
            <w:r>
              <w:t>Premii: Romanian Society of Digestive Endoscopy – Best Abstract 2018</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lastRenderedPageBreak/>
              <w:t>Activitate organizatorică</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pPr>
              <w:pStyle w:val="ListParagraph"/>
              <w:numPr>
                <w:ilvl w:val="0"/>
                <w:numId w:val="2"/>
              </w:numPr>
              <w:spacing w:after="20"/>
            </w:pPr>
            <w:r>
              <w:t>Fondator și Co-director EndoScope Conference Timișoara (www.endoscopetm.ro)</w:t>
            </w:r>
          </w:p>
          <w:p w:rsidR="006E4B97" w:rsidRDefault="008A0702">
            <w:pPr>
              <w:pStyle w:val="ListParagraph"/>
              <w:numPr>
                <w:ilvl w:val="0"/>
                <w:numId w:val="2"/>
              </w:numPr>
              <w:spacing w:after="20"/>
            </w:pPr>
            <w:r>
              <w:t>Fondator și Membru Comitet Organizatoric – Digestive Endoscopy Course Timișoara – Multidisciplinary Approach 2019</w:t>
            </w:r>
          </w:p>
          <w:p w:rsidR="006E4B97" w:rsidRDefault="008A0702">
            <w:pPr>
              <w:pStyle w:val="ListParagraph"/>
              <w:numPr>
                <w:ilvl w:val="0"/>
                <w:numId w:val="2"/>
              </w:numPr>
              <w:spacing w:after="20"/>
            </w:pPr>
            <w:r>
              <w:t>Membru Comitet Organizatoric – Digestive Endoscopy Cluj Workshop (2016–2023)</w:t>
            </w:r>
          </w:p>
          <w:p w:rsidR="006E4B97" w:rsidRDefault="008A0702">
            <w:pPr>
              <w:pStyle w:val="ListParagraph"/>
              <w:numPr>
                <w:ilvl w:val="0"/>
                <w:numId w:val="2"/>
              </w:numPr>
              <w:spacing w:after="20"/>
            </w:pPr>
            <w:r>
              <w:t>Membru Comitet Organizatoric – Conferința Națională SRGH 2019</w:t>
            </w:r>
          </w:p>
          <w:p w:rsidR="006E4B97" w:rsidRDefault="008A0702">
            <w:pPr>
              <w:pStyle w:val="ListParagraph"/>
              <w:numPr>
                <w:ilvl w:val="0"/>
                <w:numId w:val="2"/>
              </w:numPr>
              <w:spacing w:after="20"/>
            </w:pPr>
            <w:r>
              <w:t>Membru Comitet Organizatoric – ESBRA Conference Timișoara 2021</w:t>
            </w:r>
          </w:p>
          <w:p w:rsidR="006E4B97" w:rsidRDefault="008A0702">
            <w:pPr>
              <w:pStyle w:val="ListParagraph"/>
              <w:numPr>
                <w:ilvl w:val="0"/>
                <w:numId w:val="2"/>
              </w:numPr>
              <w:spacing w:after="20"/>
            </w:pPr>
            <w:r>
              <w:t>Membru Comitet Organizatoric – World Federation for Ultrasound in Medicine and Biology Congress Timișoara 2021</w:t>
            </w:r>
          </w:p>
          <w:p w:rsidR="006E4B97" w:rsidRDefault="008A0702">
            <w:pPr>
              <w:pStyle w:val="ListParagraph"/>
              <w:numPr>
                <w:ilvl w:val="0"/>
                <w:numId w:val="2"/>
              </w:numPr>
              <w:spacing w:after="20"/>
            </w:pPr>
            <w:r>
              <w:t>Membru Comitet Organizatoric – EuroSon Timișoara 2024</w:t>
            </w:r>
          </w:p>
          <w:p w:rsidR="006E4B97" w:rsidRDefault="006E4B97" w:rsidP="00D61F71">
            <w:pPr>
              <w:pStyle w:val="ListParagraph"/>
              <w:ind w:left="40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200" w:type="dxa"/>
              <w:left w:w="0" w:type="dxa"/>
              <w:bottom w:w="80" w:type="dxa"/>
              <w:right w:w="130" w:type="dxa"/>
            </w:tcMar>
            <w:vAlign w:val="bottom"/>
          </w:tcPr>
          <w:p w:rsidR="006E4B97" w:rsidRDefault="008A0702">
            <w:pPr>
              <w:jc w:val="right"/>
            </w:pPr>
            <w:r>
              <w:rPr>
                <w:b/>
                <w:bCs/>
                <w:color w:val="1F1F1F"/>
                <w:sz w:val="22"/>
                <w:szCs w:val="22"/>
              </w:rPr>
              <w:t>Aptitudini și competențe personale</w:t>
            </w:r>
          </w:p>
        </w:tc>
        <w:tc>
          <w:tcPr>
            <w:tcW w:w="7154" w:type="dxa"/>
            <w:tcBorders>
              <w:top w:val="none" w:sz="0" w:space="0" w:color="FFFFFF"/>
              <w:left w:val="single" w:sz="2" w:space="0" w:color="AAAAAA"/>
              <w:bottom w:val="single" w:sz="8" w:space="0" w:color="AAAAAA"/>
              <w:right w:val="none" w:sz="0" w:space="0" w:color="FFFFFF"/>
            </w:tcBorders>
            <w:tcMar>
              <w:top w:w="200" w:type="dxa"/>
              <w:left w:w="140" w:type="dxa"/>
              <w:bottom w:w="8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Limba(i) maternă</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Pr>
                <w:color w:val="1F1F1F"/>
              </w:rPr>
              <w:t>Română</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Limba(i) străină(e)</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Autoevaluare</w:t>
            </w:r>
          </w:p>
        </w:tc>
        <w:tc>
          <w:tcPr>
            <w:tcW w:w="7154" w:type="dxa"/>
            <w:tcBorders>
              <w:top w:val="none" w:sz="0" w:space="0" w:color="FFFFFF"/>
              <w:left w:val="single" w:sz="2" w:space="0" w:color="AAAAAA"/>
              <w:bottom w:val="none" w:sz="0" w:space="0" w:color="FFFFFF"/>
              <w:right w:val="none" w:sz="0" w:space="0" w:color="FFFFFF"/>
            </w:tcBorders>
            <w:tcMar>
              <w:top w:w="40" w:type="dxa"/>
              <w:left w:w="140" w:type="dxa"/>
              <w:bottom w:w="40" w:type="dxa"/>
              <w:right w:w="0" w:type="dxa"/>
            </w:tcMar>
          </w:tcPr>
          <w:tbl>
            <w:tblPr>
              <w:tblW w:w="700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71"/>
              <w:gridCol w:w="1167"/>
              <w:gridCol w:w="1167"/>
              <w:gridCol w:w="1167"/>
              <w:gridCol w:w="1167"/>
              <w:gridCol w:w="1167"/>
            </w:tblGrid>
            <w:tr w:rsidR="006E4B97">
              <w:tc>
                <w:tcPr>
                  <w:tcW w:w="1171" w:type="dxa"/>
                  <w:tcBorders>
                    <w:top w:val="single" w:sz="3" w:space="0" w:color="AAAAAA"/>
                    <w:left w:val="single" w:sz="3" w:space="0" w:color="AAAAAA"/>
                    <w:bottom w:val="single" w:sz="3" w:space="0" w:color="AAAAAA"/>
                    <w:right w:val="single" w:sz="3" w:space="0" w:color="AAAAAA"/>
                  </w:tcBorders>
                  <w:shd w:val="clear" w:color="auto" w:fill="EBEBEB"/>
                  <w:tcMar>
                    <w:top w:w="40" w:type="dxa"/>
                    <w:left w:w="60" w:type="dxa"/>
                    <w:bottom w:w="40" w:type="dxa"/>
                    <w:right w:w="60" w:type="dxa"/>
                  </w:tcMar>
                </w:tcPr>
                <w:p w:rsidR="006E4B97" w:rsidRDefault="008A0702">
                  <w:r>
                    <w:rPr>
                      <w:i/>
                      <w:iCs/>
                      <w:color w:val="666666"/>
                      <w:sz w:val="16"/>
                      <w:szCs w:val="16"/>
                    </w:rPr>
                    <w:t>Nivel european (*)</w:t>
                  </w:r>
                </w:p>
              </w:tc>
              <w:tc>
                <w:tcPr>
                  <w:tcW w:w="2334" w:type="dxa"/>
                  <w:gridSpan w:val="2"/>
                  <w:tcBorders>
                    <w:top w:val="single" w:sz="3" w:space="0" w:color="AAAAAA"/>
                    <w:left w:val="single" w:sz="3" w:space="0" w:color="AAAAAA"/>
                    <w:bottom w:val="single" w:sz="3" w:space="0" w:color="AAAAAA"/>
                    <w:right w:val="single" w:sz="3" w:space="0" w:color="AAAAAA"/>
                  </w:tcBorders>
                  <w:shd w:val="clear" w:color="auto" w:fill="EBEBEB"/>
                  <w:tcMar>
                    <w:top w:w="40" w:type="dxa"/>
                    <w:left w:w="60" w:type="dxa"/>
                    <w:bottom w:w="40" w:type="dxa"/>
                    <w:right w:w="60" w:type="dxa"/>
                  </w:tcMar>
                </w:tcPr>
                <w:p w:rsidR="006E4B97" w:rsidRDefault="008A0702">
                  <w:pPr>
                    <w:jc w:val="center"/>
                  </w:pPr>
                  <w:r>
                    <w:rPr>
                      <w:b/>
                      <w:bCs/>
                      <w:color w:val="1F1F1F"/>
                      <w:sz w:val="18"/>
                      <w:szCs w:val="18"/>
                    </w:rPr>
                    <w:t>Înțelegere</w:t>
                  </w:r>
                </w:p>
              </w:tc>
              <w:tc>
                <w:tcPr>
                  <w:tcW w:w="2334" w:type="dxa"/>
                  <w:gridSpan w:val="2"/>
                  <w:tcBorders>
                    <w:top w:val="single" w:sz="3" w:space="0" w:color="AAAAAA"/>
                    <w:left w:val="single" w:sz="3" w:space="0" w:color="AAAAAA"/>
                    <w:bottom w:val="single" w:sz="3" w:space="0" w:color="AAAAAA"/>
                    <w:right w:val="single" w:sz="3" w:space="0" w:color="AAAAAA"/>
                  </w:tcBorders>
                  <w:shd w:val="clear" w:color="auto" w:fill="EBEBEB"/>
                  <w:tcMar>
                    <w:top w:w="40" w:type="dxa"/>
                    <w:left w:w="60" w:type="dxa"/>
                    <w:bottom w:w="40" w:type="dxa"/>
                    <w:right w:w="60" w:type="dxa"/>
                  </w:tcMar>
                </w:tcPr>
                <w:p w:rsidR="006E4B97" w:rsidRDefault="008A0702">
                  <w:pPr>
                    <w:jc w:val="center"/>
                  </w:pPr>
                  <w:r>
                    <w:rPr>
                      <w:b/>
                      <w:bCs/>
                      <w:color w:val="1F1F1F"/>
                      <w:sz w:val="18"/>
                      <w:szCs w:val="18"/>
                    </w:rPr>
                    <w:t>Vorbire</w:t>
                  </w:r>
                </w:p>
              </w:tc>
              <w:tc>
                <w:tcPr>
                  <w:tcW w:w="1167" w:type="dxa"/>
                  <w:tcBorders>
                    <w:top w:val="single" w:sz="3" w:space="0" w:color="AAAAAA"/>
                    <w:left w:val="single" w:sz="3" w:space="0" w:color="AAAAAA"/>
                    <w:bottom w:val="single" w:sz="3" w:space="0" w:color="AAAAAA"/>
                    <w:right w:val="single" w:sz="3" w:space="0" w:color="AAAAAA"/>
                  </w:tcBorders>
                  <w:shd w:val="clear" w:color="auto" w:fill="EBEBEB"/>
                  <w:tcMar>
                    <w:top w:w="40" w:type="dxa"/>
                    <w:left w:w="60" w:type="dxa"/>
                    <w:bottom w:w="40" w:type="dxa"/>
                    <w:right w:w="60" w:type="dxa"/>
                  </w:tcMar>
                </w:tcPr>
                <w:p w:rsidR="006E4B97" w:rsidRDefault="008A0702">
                  <w:pPr>
                    <w:jc w:val="center"/>
                  </w:pPr>
                  <w:r>
                    <w:rPr>
                      <w:b/>
                      <w:bCs/>
                      <w:color w:val="1F1F1F"/>
                      <w:sz w:val="18"/>
                      <w:szCs w:val="18"/>
                    </w:rPr>
                    <w:t>Scriere</w:t>
                  </w:r>
                </w:p>
              </w:tc>
            </w:tr>
            <w:tr w:rsidR="006E4B97">
              <w:tc>
                <w:tcPr>
                  <w:tcW w:w="1171" w:type="dxa"/>
                  <w:tcBorders>
                    <w:top w:val="single" w:sz="3" w:space="0" w:color="AAAAAA"/>
                    <w:left w:val="single" w:sz="3" w:space="0" w:color="AAAAAA"/>
                    <w:bottom w:val="single" w:sz="3" w:space="0" w:color="AAAAAA"/>
                    <w:right w:val="single" w:sz="3" w:space="0" w:color="AAAAAA"/>
                  </w:tcBorders>
                  <w:shd w:val="clear" w:color="auto" w:fill="EBEBEB"/>
                </w:tcPr>
                <w:p w:rsidR="006E4B97" w:rsidRDefault="006E4B97"/>
              </w:tc>
              <w:tc>
                <w:tcPr>
                  <w:tcW w:w="1167" w:type="dxa"/>
                  <w:tcBorders>
                    <w:top w:val="single" w:sz="3" w:space="0" w:color="AAAAAA"/>
                    <w:left w:val="single" w:sz="3" w:space="0" w:color="AAAAAA"/>
                    <w:bottom w:val="single" w:sz="3" w:space="0" w:color="AAAAAA"/>
                    <w:right w:val="single" w:sz="3" w:space="0" w:color="AAAAAA"/>
                  </w:tcBorders>
                  <w:shd w:val="clear" w:color="auto" w:fill="EBEBEB"/>
                  <w:tcMar>
                    <w:top w:w="30" w:type="dxa"/>
                    <w:left w:w="40" w:type="dxa"/>
                    <w:bottom w:w="30" w:type="dxa"/>
                    <w:right w:w="40" w:type="dxa"/>
                  </w:tcMar>
                </w:tcPr>
                <w:p w:rsidR="006E4B97" w:rsidRDefault="008A0702">
                  <w:pPr>
                    <w:jc w:val="center"/>
                  </w:pPr>
                  <w:r>
                    <w:rPr>
                      <w:i/>
                      <w:iCs/>
                      <w:color w:val="666666"/>
                      <w:sz w:val="16"/>
                      <w:szCs w:val="16"/>
                    </w:rPr>
                    <w:t>Ascultare</w:t>
                  </w:r>
                </w:p>
              </w:tc>
              <w:tc>
                <w:tcPr>
                  <w:tcW w:w="1167" w:type="dxa"/>
                  <w:tcBorders>
                    <w:top w:val="single" w:sz="3" w:space="0" w:color="AAAAAA"/>
                    <w:left w:val="single" w:sz="3" w:space="0" w:color="AAAAAA"/>
                    <w:bottom w:val="single" w:sz="3" w:space="0" w:color="AAAAAA"/>
                    <w:right w:val="single" w:sz="3" w:space="0" w:color="AAAAAA"/>
                  </w:tcBorders>
                  <w:shd w:val="clear" w:color="auto" w:fill="EBEBEB"/>
                  <w:tcMar>
                    <w:top w:w="30" w:type="dxa"/>
                    <w:left w:w="40" w:type="dxa"/>
                    <w:bottom w:w="30" w:type="dxa"/>
                    <w:right w:w="40" w:type="dxa"/>
                  </w:tcMar>
                </w:tcPr>
                <w:p w:rsidR="006E4B97" w:rsidRDefault="008A0702">
                  <w:pPr>
                    <w:jc w:val="center"/>
                  </w:pPr>
                  <w:r>
                    <w:rPr>
                      <w:i/>
                      <w:iCs/>
                      <w:color w:val="666666"/>
                      <w:sz w:val="16"/>
                      <w:szCs w:val="16"/>
                    </w:rPr>
                    <w:t>Citire</w:t>
                  </w:r>
                </w:p>
              </w:tc>
              <w:tc>
                <w:tcPr>
                  <w:tcW w:w="1167" w:type="dxa"/>
                  <w:tcBorders>
                    <w:top w:val="single" w:sz="3" w:space="0" w:color="AAAAAA"/>
                    <w:left w:val="single" w:sz="3" w:space="0" w:color="AAAAAA"/>
                    <w:bottom w:val="single" w:sz="3" w:space="0" w:color="AAAAAA"/>
                    <w:right w:val="single" w:sz="3" w:space="0" w:color="AAAAAA"/>
                  </w:tcBorders>
                  <w:shd w:val="clear" w:color="auto" w:fill="EBEBEB"/>
                  <w:tcMar>
                    <w:top w:w="30" w:type="dxa"/>
                    <w:left w:w="40" w:type="dxa"/>
                    <w:bottom w:w="30" w:type="dxa"/>
                    <w:right w:w="40" w:type="dxa"/>
                  </w:tcMar>
                </w:tcPr>
                <w:p w:rsidR="006E4B97" w:rsidRDefault="008A0702">
                  <w:pPr>
                    <w:jc w:val="center"/>
                  </w:pPr>
                  <w:r>
                    <w:rPr>
                      <w:i/>
                      <w:iCs/>
                      <w:color w:val="666666"/>
                      <w:sz w:val="16"/>
                      <w:szCs w:val="16"/>
                    </w:rPr>
                    <w:t>Participare la conversație</w:t>
                  </w:r>
                </w:p>
              </w:tc>
              <w:tc>
                <w:tcPr>
                  <w:tcW w:w="1167" w:type="dxa"/>
                  <w:tcBorders>
                    <w:top w:val="single" w:sz="3" w:space="0" w:color="AAAAAA"/>
                    <w:left w:val="single" w:sz="3" w:space="0" w:color="AAAAAA"/>
                    <w:bottom w:val="single" w:sz="3" w:space="0" w:color="AAAAAA"/>
                    <w:right w:val="single" w:sz="3" w:space="0" w:color="AAAAAA"/>
                  </w:tcBorders>
                  <w:shd w:val="clear" w:color="auto" w:fill="EBEBEB"/>
                  <w:tcMar>
                    <w:top w:w="30" w:type="dxa"/>
                    <w:left w:w="40" w:type="dxa"/>
                    <w:bottom w:w="30" w:type="dxa"/>
                    <w:right w:w="40" w:type="dxa"/>
                  </w:tcMar>
                </w:tcPr>
                <w:p w:rsidR="006E4B97" w:rsidRDefault="008A0702">
                  <w:pPr>
                    <w:jc w:val="center"/>
                  </w:pPr>
                  <w:r>
                    <w:rPr>
                      <w:i/>
                      <w:iCs/>
                      <w:color w:val="666666"/>
                      <w:sz w:val="16"/>
                      <w:szCs w:val="16"/>
                    </w:rPr>
                    <w:t>Discurs oral</w:t>
                  </w:r>
                </w:p>
              </w:tc>
              <w:tc>
                <w:tcPr>
                  <w:tcW w:w="1167" w:type="dxa"/>
                  <w:tcBorders>
                    <w:top w:val="single" w:sz="3" w:space="0" w:color="AAAAAA"/>
                    <w:left w:val="single" w:sz="3" w:space="0" w:color="AAAAAA"/>
                    <w:bottom w:val="single" w:sz="3" w:space="0" w:color="AAAAAA"/>
                    <w:right w:val="single" w:sz="3" w:space="0" w:color="AAAAAA"/>
                  </w:tcBorders>
                  <w:shd w:val="clear" w:color="auto" w:fill="EBEBEB"/>
                  <w:tcMar>
                    <w:top w:w="30" w:type="dxa"/>
                    <w:left w:w="40" w:type="dxa"/>
                    <w:bottom w:w="30" w:type="dxa"/>
                    <w:right w:w="40" w:type="dxa"/>
                  </w:tcMar>
                </w:tcPr>
                <w:p w:rsidR="006E4B97" w:rsidRDefault="008A0702">
                  <w:pPr>
                    <w:jc w:val="center"/>
                  </w:pPr>
                  <w:r>
                    <w:rPr>
                      <w:i/>
                      <w:iCs/>
                      <w:color w:val="666666"/>
                      <w:sz w:val="16"/>
                      <w:szCs w:val="16"/>
                    </w:rPr>
                    <w:t>Exprimare scrisă</w:t>
                  </w:r>
                </w:p>
              </w:tc>
            </w:tr>
            <w:tr w:rsidR="006E4B97">
              <w:tc>
                <w:tcPr>
                  <w:tcW w:w="1171" w:type="dxa"/>
                  <w:tcBorders>
                    <w:top w:val="single" w:sz="3" w:space="0" w:color="AAAAAA"/>
                    <w:left w:val="single" w:sz="3" w:space="0" w:color="AAAAAA"/>
                    <w:bottom w:val="single" w:sz="3" w:space="0" w:color="AAAAAA"/>
                    <w:right w:val="single" w:sz="3" w:space="0" w:color="AAAAAA"/>
                  </w:tcBorders>
                  <w:tcMar>
                    <w:top w:w="40" w:type="dxa"/>
                    <w:left w:w="60" w:type="dxa"/>
                    <w:bottom w:w="40" w:type="dxa"/>
                    <w:right w:w="60" w:type="dxa"/>
                  </w:tcMar>
                </w:tcPr>
                <w:p w:rsidR="006E4B97" w:rsidRDefault="008A0702">
                  <w:r>
                    <w:rPr>
                      <w:b/>
                      <w:bCs/>
                      <w:color w:val="1F1F1F"/>
                    </w:rPr>
                    <w:t>Engleză</w:t>
                  </w:r>
                </w:p>
              </w:tc>
              <w:tc>
                <w:tcPr>
                  <w:tcW w:w="1167" w:type="dxa"/>
                  <w:tcBorders>
                    <w:top w:val="single" w:sz="3" w:space="0" w:color="AAAAAA"/>
                    <w:left w:val="single" w:sz="3" w:space="0" w:color="AAAAAA"/>
                    <w:bottom w:val="single" w:sz="3" w:space="0" w:color="AAAAAA"/>
                    <w:right w:val="single" w:sz="3" w:space="0" w:color="AAAAAA"/>
                  </w:tcBorders>
                  <w:tcMar>
                    <w:top w:w="40" w:type="dxa"/>
                    <w:left w:w="40" w:type="dxa"/>
                    <w:bottom w:w="40" w:type="dxa"/>
                    <w:right w:w="40" w:type="dxa"/>
                  </w:tcMar>
                </w:tcPr>
                <w:p w:rsidR="006E4B97" w:rsidRDefault="008A0702">
                  <w:pPr>
                    <w:jc w:val="center"/>
                  </w:pPr>
                  <w:r>
                    <w:rPr>
                      <w:b/>
                      <w:bCs/>
                      <w:color w:val="1F1F1F"/>
                      <w:sz w:val="18"/>
                      <w:szCs w:val="18"/>
                    </w:rPr>
                    <w:t>C2</w:t>
                  </w:r>
                </w:p>
                <w:p w:rsidR="006E4B97" w:rsidRDefault="008A0702">
                  <w:pPr>
                    <w:jc w:val="center"/>
                  </w:pPr>
                  <w:r>
                    <w:rPr>
                      <w:color w:val="666666"/>
                      <w:sz w:val="16"/>
                      <w:szCs w:val="16"/>
                    </w:rPr>
                    <w:t>Experimentat</w:t>
                  </w:r>
                </w:p>
              </w:tc>
              <w:tc>
                <w:tcPr>
                  <w:tcW w:w="1167" w:type="dxa"/>
                  <w:tcBorders>
                    <w:top w:val="single" w:sz="3" w:space="0" w:color="AAAAAA"/>
                    <w:left w:val="single" w:sz="3" w:space="0" w:color="AAAAAA"/>
                    <w:bottom w:val="single" w:sz="3" w:space="0" w:color="AAAAAA"/>
                    <w:right w:val="single" w:sz="3" w:space="0" w:color="AAAAAA"/>
                  </w:tcBorders>
                  <w:tcMar>
                    <w:top w:w="40" w:type="dxa"/>
                    <w:left w:w="40" w:type="dxa"/>
                    <w:bottom w:w="40" w:type="dxa"/>
                    <w:right w:w="40" w:type="dxa"/>
                  </w:tcMar>
                </w:tcPr>
                <w:p w:rsidR="006E4B97" w:rsidRDefault="008A0702">
                  <w:pPr>
                    <w:jc w:val="center"/>
                  </w:pPr>
                  <w:r>
                    <w:rPr>
                      <w:b/>
                      <w:bCs/>
                      <w:color w:val="1F1F1F"/>
                      <w:sz w:val="18"/>
                      <w:szCs w:val="18"/>
                    </w:rPr>
                    <w:t>C2</w:t>
                  </w:r>
                </w:p>
                <w:p w:rsidR="006E4B97" w:rsidRDefault="008A0702">
                  <w:pPr>
                    <w:jc w:val="center"/>
                  </w:pPr>
                  <w:r>
                    <w:rPr>
                      <w:color w:val="666666"/>
                      <w:sz w:val="16"/>
                      <w:szCs w:val="16"/>
                    </w:rPr>
                    <w:t>Experimentat</w:t>
                  </w:r>
                </w:p>
              </w:tc>
              <w:tc>
                <w:tcPr>
                  <w:tcW w:w="1167" w:type="dxa"/>
                  <w:tcBorders>
                    <w:top w:val="single" w:sz="3" w:space="0" w:color="AAAAAA"/>
                    <w:left w:val="single" w:sz="3" w:space="0" w:color="AAAAAA"/>
                    <w:bottom w:val="single" w:sz="3" w:space="0" w:color="AAAAAA"/>
                    <w:right w:val="single" w:sz="3" w:space="0" w:color="AAAAAA"/>
                  </w:tcBorders>
                  <w:tcMar>
                    <w:top w:w="40" w:type="dxa"/>
                    <w:left w:w="40" w:type="dxa"/>
                    <w:bottom w:w="40" w:type="dxa"/>
                    <w:right w:w="40" w:type="dxa"/>
                  </w:tcMar>
                </w:tcPr>
                <w:p w:rsidR="006E4B97" w:rsidRDefault="008A0702">
                  <w:pPr>
                    <w:jc w:val="center"/>
                  </w:pPr>
                  <w:r>
                    <w:rPr>
                      <w:b/>
                      <w:bCs/>
                      <w:color w:val="1F1F1F"/>
                      <w:sz w:val="18"/>
                      <w:szCs w:val="18"/>
                    </w:rPr>
                    <w:t>C1</w:t>
                  </w:r>
                </w:p>
                <w:p w:rsidR="006E4B97" w:rsidRDefault="008A0702">
                  <w:pPr>
                    <w:jc w:val="center"/>
                  </w:pPr>
                  <w:r>
                    <w:rPr>
                      <w:color w:val="666666"/>
                      <w:sz w:val="16"/>
                      <w:szCs w:val="16"/>
                    </w:rPr>
                    <w:t>Experimentat</w:t>
                  </w:r>
                </w:p>
              </w:tc>
              <w:tc>
                <w:tcPr>
                  <w:tcW w:w="1167" w:type="dxa"/>
                  <w:tcBorders>
                    <w:top w:val="single" w:sz="3" w:space="0" w:color="AAAAAA"/>
                    <w:left w:val="single" w:sz="3" w:space="0" w:color="AAAAAA"/>
                    <w:bottom w:val="single" w:sz="3" w:space="0" w:color="AAAAAA"/>
                    <w:right w:val="single" w:sz="3" w:space="0" w:color="AAAAAA"/>
                  </w:tcBorders>
                  <w:tcMar>
                    <w:top w:w="40" w:type="dxa"/>
                    <w:left w:w="40" w:type="dxa"/>
                    <w:bottom w:w="40" w:type="dxa"/>
                    <w:right w:w="40" w:type="dxa"/>
                  </w:tcMar>
                </w:tcPr>
                <w:p w:rsidR="006E4B97" w:rsidRDefault="008A0702">
                  <w:pPr>
                    <w:jc w:val="center"/>
                  </w:pPr>
                  <w:r>
                    <w:rPr>
                      <w:b/>
                      <w:bCs/>
                      <w:color w:val="1F1F1F"/>
                      <w:sz w:val="18"/>
                      <w:szCs w:val="18"/>
                    </w:rPr>
                    <w:t>C1</w:t>
                  </w:r>
                </w:p>
                <w:p w:rsidR="006E4B97" w:rsidRDefault="008A0702">
                  <w:pPr>
                    <w:jc w:val="center"/>
                  </w:pPr>
                  <w:r>
                    <w:rPr>
                      <w:color w:val="666666"/>
                      <w:sz w:val="16"/>
                      <w:szCs w:val="16"/>
                    </w:rPr>
                    <w:t>Experimentat</w:t>
                  </w:r>
                </w:p>
              </w:tc>
              <w:tc>
                <w:tcPr>
                  <w:tcW w:w="1167" w:type="dxa"/>
                  <w:tcBorders>
                    <w:top w:val="single" w:sz="3" w:space="0" w:color="AAAAAA"/>
                    <w:left w:val="single" w:sz="3" w:space="0" w:color="AAAAAA"/>
                    <w:bottom w:val="single" w:sz="3" w:space="0" w:color="AAAAAA"/>
                    <w:right w:val="single" w:sz="3" w:space="0" w:color="AAAAAA"/>
                  </w:tcBorders>
                  <w:tcMar>
                    <w:top w:w="40" w:type="dxa"/>
                    <w:left w:w="40" w:type="dxa"/>
                    <w:bottom w:w="40" w:type="dxa"/>
                    <w:right w:w="40" w:type="dxa"/>
                  </w:tcMar>
                </w:tcPr>
                <w:p w:rsidR="006E4B97" w:rsidRDefault="008A0702">
                  <w:pPr>
                    <w:jc w:val="center"/>
                  </w:pPr>
                  <w:r>
                    <w:rPr>
                      <w:b/>
                      <w:bCs/>
                      <w:color w:val="1F1F1F"/>
                      <w:sz w:val="18"/>
                      <w:szCs w:val="18"/>
                    </w:rPr>
                    <w:t>B1</w:t>
                  </w:r>
                </w:p>
                <w:p w:rsidR="006E4B97" w:rsidRDefault="008A0702">
                  <w:pPr>
                    <w:jc w:val="center"/>
                  </w:pPr>
                  <w:r>
                    <w:rPr>
                      <w:color w:val="666666"/>
                      <w:sz w:val="16"/>
                      <w:szCs w:val="16"/>
                    </w:rPr>
                    <w:t>Independent</w:t>
                  </w:r>
                </w:p>
              </w:tc>
            </w:tr>
            <w:tr w:rsidR="006E4B97">
              <w:tc>
                <w:tcPr>
                  <w:tcW w:w="1171" w:type="dxa"/>
                  <w:tcBorders>
                    <w:top w:val="single" w:sz="3" w:space="0" w:color="AAAAAA"/>
                    <w:left w:val="single" w:sz="3" w:space="0" w:color="AAAAAA"/>
                    <w:bottom w:val="single" w:sz="3" w:space="0" w:color="AAAAAA"/>
                    <w:right w:val="single" w:sz="3" w:space="0" w:color="AAAAAA"/>
                  </w:tcBorders>
                  <w:tcMar>
                    <w:top w:w="40" w:type="dxa"/>
                    <w:left w:w="60" w:type="dxa"/>
                    <w:bottom w:w="40" w:type="dxa"/>
                    <w:right w:w="60" w:type="dxa"/>
                  </w:tcMar>
                </w:tcPr>
                <w:p w:rsidR="006E4B97" w:rsidRDefault="008A0702">
                  <w:r>
                    <w:rPr>
                      <w:b/>
                      <w:bCs/>
                      <w:color w:val="1F1F1F"/>
                    </w:rPr>
                    <w:t>Franceză</w:t>
                  </w:r>
                </w:p>
              </w:tc>
              <w:tc>
                <w:tcPr>
                  <w:tcW w:w="1167" w:type="dxa"/>
                  <w:tcBorders>
                    <w:top w:val="single" w:sz="3" w:space="0" w:color="AAAAAA"/>
                    <w:left w:val="single" w:sz="3" w:space="0" w:color="AAAAAA"/>
                    <w:bottom w:val="single" w:sz="3" w:space="0" w:color="AAAAAA"/>
                    <w:right w:val="single" w:sz="3" w:space="0" w:color="AAAAAA"/>
                  </w:tcBorders>
                  <w:tcMar>
                    <w:top w:w="40" w:type="dxa"/>
                    <w:left w:w="40" w:type="dxa"/>
                    <w:bottom w:w="40" w:type="dxa"/>
                    <w:right w:w="40" w:type="dxa"/>
                  </w:tcMar>
                </w:tcPr>
                <w:p w:rsidR="006E4B97" w:rsidRDefault="008A0702">
                  <w:pPr>
                    <w:jc w:val="center"/>
                  </w:pPr>
                  <w:r>
                    <w:rPr>
                      <w:b/>
                      <w:bCs/>
                      <w:color w:val="1F1F1F"/>
                      <w:sz w:val="18"/>
                      <w:szCs w:val="18"/>
                    </w:rPr>
                    <w:t>B2</w:t>
                  </w:r>
                </w:p>
                <w:p w:rsidR="006E4B97" w:rsidRDefault="008A0702">
                  <w:pPr>
                    <w:jc w:val="center"/>
                  </w:pPr>
                  <w:r>
                    <w:rPr>
                      <w:color w:val="666666"/>
                      <w:sz w:val="16"/>
                      <w:szCs w:val="16"/>
                    </w:rPr>
                    <w:t>Independent</w:t>
                  </w:r>
                </w:p>
              </w:tc>
              <w:tc>
                <w:tcPr>
                  <w:tcW w:w="1167" w:type="dxa"/>
                  <w:tcBorders>
                    <w:top w:val="single" w:sz="3" w:space="0" w:color="AAAAAA"/>
                    <w:left w:val="single" w:sz="3" w:space="0" w:color="AAAAAA"/>
                    <w:bottom w:val="single" w:sz="3" w:space="0" w:color="AAAAAA"/>
                    <w:right w:val="single" w:sz="3" w:space="0" w:color="AAAAAA"/>
                  </w:tcBorders>
                  <w:tcMar>
                    <w:top w:w="40" w:type="dxa"/>
                    <w:left w:w="40" w:type="dxa"/>
                    <w:bottom w:w="40" w:type="dxa"/>
                    <w:right w:w="40" w:type="dxa"/>
                  </w:tcMar>
                </w:tcPr>
                <w:p w:rsidR="006E4B97" w:rsidRDefault="008A0702">
                  <w:pPr>
                    <w:jc w:val="center"/>
                  </w:pPr>
                  <w:r>
                    <w:rPr>
                      <w:b/>
                      <w:bCs/>
                      <w:color w:val="1F1F1F"/>
                      <w:sz w:val="18"/>
                      <w:szCs w:val="18"/>
                    </w:rPr>
                    <w:t>B2</w:t>
                  </w:r>
                </w:p>
                <w:p w:rsidR="006E4B97" w:rsidRDefault="008A0702">
                  <w:pPr>
                    <w:jc w:val="center"/>
                  </w:pPr>
                  <w:r>
                    <w:rPr>
                      <w:color w:val="666666"/>
                      <w:sz w:val="16"/>
                      <w:szCs w:val="16"/>
                    </w:rPr>
                    <w:t>Independent</w:t>
                  </w:r>
                </w:p>
              </w:tc>
              <w:tc>
                <w:tcPr>
                  <w:tcW w:w="1167" w:type="dxa"/>
                  <w:tcBorders>
                    <w:top w:val="single" w:sz="3" w:space="0" w:color="AAAAAA"/>
                    <w:left w:val="single" w:sz="3" w:space="0" w:color="AAAAAA"/>
                    <w:bottom w:val="single" w:sz="3" w:space="0" w:color="AAAAAA"/>
                    <w:right w:val="single" w:sz="3" w:space="0" w:color="AAAAAA"/>
                  </w:tcBorders>
                  <w:tcMar>
                    <w:top w:w="40" w:type="dxa"/>
                    <w:left w:w="40" w:type="dxa"/>
                    <w:bottom w:w="40" w:type="dxa"/>
                    <w:right w:w="40" w:type="dxa"/>
                  </w:tcMar>
                </w:tcPr>
                <w:p w:rsidR="006E4B97" w:rsidRDefault="008A0702">
                  <w:pPr>
                    <w:jc w:val="center"/>
                  </w:pPr>
                  <w:r>
                    <w:rPr>
                      <w:b/>
                      <w:bCs/>
                      <w:color w:val="1F1F1F"/>
                      <w:sz w:val="18"/>
                      <w:szCs w:val="18"/>
                    </w:rPr>
                    <w:t>B2</w:t>
                  </w:r>
                </w:p>
                <w:p w:rsidR="006E4B97" w:rsidRDefault="008A0702">
                  <w:pPr>
                    <w:jc w:val="center"/>
                  </w:pPr>
                  <w:r>
                    <w:rPr>
                      <w:color w:val="666666"/>
                      <w:sz w:val="16"/>
                      <w:szCs w:val="16"/>
                    </w:rPr>
                    <w:t>Independent</w:t>
                  </w:r>
                </w:p>
              </w:tc>
              <w:tc>
                <w:tcPr>
                  <w:tcW w:w="1167" w:type="dxa"/>
                  <w:tcBorders>
                    <w:top w:val="single" w:sz="3" w:space="0" w:color="AAAAAA"/>
                    <w:left w:val="single" w:sz="3" w:space="0" w:color="AAAAAA"/>
                    <w:bottom w:val="single" w:sz="3" w:space="0" w:color="AAAAAA"/>
                    <w:right w:val="single" w:sz="3" w:space="0" w:color="AAAAAA"/>
                  </w:tcBorders>
                  <w:tcMar>
                    <w:top w:w="40" w:type="dxa"/>
                    <w:left w:w="40" w:type="dxa"/>
                    <w:bottom w:w="40" w:type="dxa"/>
                    <w:right w:w="40" w:type="dxa"/>
                  </w:tcMar>
                </w:tcPr>
                <w:p w:rsidR="006E4B97" w:rsidRDefault="008A0702">
                  <w:pPr>
                    <w:jc w:val="center"/>
                  </w:pPr>
                  <w:r>
                    <w:rPr>
                      <w:b/>
                      <w:bCs/>
                      <w:color w:val="1F1F1F"/>
                      <w:sz w:val="18"/>
                      <w:szCs w:val="18"/>
                    </w:rPr>
                    <w:t>B2</w:t>
                  </w:r>
                </w:p>
                <w:p w:rsidR="006E4B97" w:rsidRDefault="008A0702">
                  <w:pPr>
                    <w:jc w:val="center"/>
                  </w:pPr>
                  <w:r>
                    <w:rPr>
                      <w:color w:val="666666"/>
                      <w:sz w:val="16"/>
                      <w:szCs w:val="16"/>
                    </w:rPr>
                    <w:t>Independent</w:t>
                  </w:r>
                </w:p>
              </w:tc>
              <w:tc>
                <w:tcPr>
                  <w:tcW w:w="1167" w:type="dxa"/>
                  <w:tcBorders>
                    <w:top w:val="single" w:sz="3" w:space="0" w:color="AAAAAA"/>
                    <w:left w:val="single" w:sz="3" w:space="0" w:color="AAAAAA"/>
                    <w:bottom w:val="single" w:sz="3" w:space="0" w:color="AAAAAA"/>
                    <w:right w:val="single" w:sz="3" w:space="0" w:color="AAAAAA"/>
                  </w:tcBorders>
                  <w:tcMar>
                    <w:top w:w="40" w:type="dxa"/>
                    <w:left w:w="40" w:type="dxa"/>
                    <w:bottom w:w="40" w:type="dxa"/>
                    <w:right w:w="40" w:type="dxa"/>
                  </w:tcMar>
                </w:tcPr>
                <w:p w:rsidR="006E4B97" w:rsidRDefault="008A0702">
                  <w:pPr>
                    <w:jc w:val="center"/>
                  </w:pPr>
                  <w:r>
                    <w:rPr>
                      <w:b/>
                      <w:bCs/>
                      <w:color w:val="1F1F1F"/>
                      <w:sz w:val="18"/>
                      <w:szCs w:val="18"/>
                    </w:rPr>
                    <w:t>B2</w:t>
                  </w:r>
                </w:p>
                <w:p w:rsidR="006E4B97" w:rsidRDefault="008A0702">
                  <w:pPr>
                    <w:jc w:val="center"/>
                  </w:pPr>
                  <w:r>
                    <w:rPr>
                      <w:color w:val="666666"/>
                      <w:sz w:val="16"/>
                      <w:szCs w:val="16"/>
                    </w:rPr>
                    <w:t>Independent</w:t>
                  </w:r>
                </w:p>
              </w:tc>
            </w:tr>
            <w:tr w:rsidR="006E4B97">
              <w:tc>
                <w:tcPr>
                  <w:tcW w:w="1171" w:type="dxa"/>
                  <w:tcBorders>
                    <w:top w:val="single" w:sz="3" w:space="0" w:color="AAAAAA"/>
                    <w:left w:val="single" w:sz="3" w:space="0" w:color="AAAAAA"/>
                    <w:bottom w:val="single" w:sz="3" w:space="0" w:color="AAAAAA"/>
                    <w:right w:val="single" w:sz="3" w:space="0" w:color="AAAAAA"/>
                  </w:tcBorders>
                  <w:tcMar>
                    <w:top w:w="40" w:type="dxa"/>
                    <w:left w:w="60" w:type="dxa"/>
                    <w:bottom w:w="40" w:type="dxa"/>
                    <w:right w:w="60" w:type="dxa"/>
                  </w:tcMar>
                </w:tcPr>
                <w:p w:rsidR="006E4B97" w:rsidRDefault="008A0702">
                  <w:r>
                    <w:rPr>
                      <w:b/>
                      <w:bCs/>
                      <w:color w:val="1F1F1F"/>
                    </w:rPr>
                    <w:t>Germană</w:t>
                  </w:r>
                </w:p>
              </w:tc>
              <w:tc>
                <w:tcPr>
                  <w:tcW w:w="1167" w:type="dxa"/>
                  <w:tcBorders>
                    <w:top w:val="single" w:sz="3" w:space="0" w:color="AAAAAA"/>
                    <w:left w:val="single" w:sz="3" w:space="0" w:color="AAAAAA"/>
                    <w:bottom w:val="single" w:sz="3" w:space="0" w:color="AAAAAA"/>
                    <w:right w:val="single" w:sz="3" w:space="0" w:color="AAAAAA"/>
                  </w:tcBorders>
                  <w:tcMar>
                    <w:top w:w="40" w:type="dxa"/>
                    <w:left w:w="40" w:type="dxa"/>
                    <w:bottom w:w="40" w:type="dxa"/>
                    <w:right w:w="40" w:type="dxa"/>
                  </w:tcMar>
                </w:tcPr>
                <w:p w:rsidR="006E4B97" w:rsidRDefault="008A0702">
                  <w:pPr>
                    <w:jc w:val="center"/>
                  </w:pPr>
                  <w:r>
                    <w:rPr>
                      <w:b/>
                      <w:bCs/>
                      <w:color w:val="1F1F1F"/>
                      <w:sz w:val="18"/>
                      <w:szCs w:val="18"/>
                    </w:rPr>
                    <w:t>B1</w:t>
                  </w:r>
                </w:p>
                <w:p w:rsidR="006E4B97" w:rsidRDefault="008A0702">
                  <w:pPr>
                    <w:jc w:val="center"/>
                  </w:pPr>
                  <w:r>
                    <w:rPr>
                      <w:color w:val="666666"/>
                      <w:sz w:val="16"/>
                      <w:szCs w:val="16"/>
                    </w:rPr>
                    <w:t>Independent</w:t>
                  </w:r>
                </w:p>
              </w:tc>
              <w:tc>
                <w:tcPr>
                  <w:tcW w:w="1167" w:type="dxa"/>
                  <w:tcBorders>
                    <w:top w:val="single" w:sz="3" w:space="0" w:color="AAAAAA"/>
                    <w:left w:val="single" w:sz="3" w:space="0" w:color="AAAAAA"/>
                    <w:bottom w:val="single" w:sz="3" w:space="0" w:color="AAAAAA"/>
                    <w:right w:val="single" w:sz="3" w:space="0" w:color="AAAAAA"/>
                  </w:tcBorders>
                  <w:tcMar>
                    <w:top w:w="40" w:type="dxa"/>
                    <w:left w:w="40" w:type="dxa"/>
                    <w:bottom w:w="40" w:type="dxa"/>
                    <w:right w:w="40" w:type="dxa"/>
                  </w:tcMar>
                </w:tcPr>
                <w:p w:rsidR="006E4B97" w:rsidRDefault="008A0702">
                  <w:pPr>
                    <w:jc w:val="center"/>
                  </w:pPr>
                  <w:r>
                    <w:rPr>
                      <w:b/>
                      <w:bCs/>
                      <w:color w:val="1F1F1F"/>
                      <w:sz w:val="18"/>
                      <w:szCs w:val="18"/>
                    </w:rPr>
                    <w:t>B1</w:t>
                  </w:r>
                </w:p>
                <w:p w:rsidR="006E4B97" w:rsidRDefault="008A0702">
                  <w:pPr>
                    <w:jc w:val="center"/>
                  </w:pPr>
                  <w:r>
                    <w:rPr>
                      <w:color w:val="666666"/>
                      <w:sz w:val="16"/>
                      <w:szCs w:val="16"/>
                    </w:rPr>
                    <w:t>Independent</w:t>
                  </w:r>
                </w:p>
              </w:tc>
              <w:tc>
                <w:tcPr>
                  <w:tcW w:w="1167" w:type="dxa"/>
                  <w:tcBorders>
                    <w:top w:val="single" w:sz="3" w:space="0" w:color="AAAAAA"/>
                    <w:left w:val="single" w:sz="3" w:space="0" w:color="AAAAAA"/>
                    <w:bottom w:val="single" w:sz="3" w:space="0" w:color="AAAAAA"/>
                    <w:right w:val="single" w:sz="3" w:space="0" w:color="AAAAAA"/>
                  </w:tcBorders>
                  <w:tcMar>
                    <w:top w:w="40" w:type="dxa"/>
                    <w:left w:w="40" w:type="dxa"/>
                    <w:bottom w:w="40" w:type="dxa"/>
                    <w:right w:w="40" w:type="dxa"/>
                  </w:tcMar>
                </w:tcPr>
                <w:p w:rsidR="006E4B97" w:rsidRDefault="008A0702">
                  <w:pPr>
                    <w:jc w:val="center"/>
                  </w:pPr>
                  <w:r>
                    <w:rPr>
                      <w:b/>
                      <w:bCs/>
                      <w:color w:val="1F1F1F"/>
                      <w:sz w:val="18"/>
                      <w:szCs w:val="18"/>
                    </w:rPr>
                    <w:t>B1</w:t>
                  </w:r>
                </w:p>
                <w:p w:rsidR="006E4B97" w:rsidRDefault="008A0702">
                  <w:pPr>
                    <w:jc w:val="center"/>
                  </w:pPr>
                  <w:r>
                    <w:rPr>
                      <w:color w:val="666666"/>
                      <w:sz w:val="16"/>
                      <w:szCs w:val="16"/>
                    </w:rPr>
                    <w:t>Independent</w:t>
                  </w:r>
                </w:p>
              </w:tc>
              <w:tc>
                <w:tcPr>
                  <w:tcW w:w="1167" w:type="dxa"/>
                  <w:tcBorders>
                    <w:top w:val="single" w:sz="3" w:space="0" w:color="AAAAAA"/>
                    <w:left w:val="single" w:sz="3" w:space="0" w:color="AAAAAA"/>
                    <w:bottom w:val="single" w:sz="3" w:space="0" w:color="AAAAAA"/>
                    <w:right w:val="single" w:sz="3" w:space="0" w:color="AAAAAA"/>
                  </w:tcBorders>
                  <w:tcMar>
                    <w:top w:w="40" w:type="dxa"/>
                    <w:left w:w="40" w:type="dxa"/>
                    <w:bottom w:w="40" w:type="dxa"/>
                    <w:right w:w="40" w:type="dxa"/>
                  </w:tcMar>
                </w:tcPr>
                <w:p w:rsidR="006E4B97" w:rsidRDefault="008A0702">
                  <w:pPr>
                    <w:jc w:val="center"/>
                  </w:pPr>
                  <w:r>
                    <w:rPr>
                      <w:b/>
                      <w:bCs/>
                      <w:color w:val="1F1F1F"/>
                      <w:sz w:val="18"/>
                      <w:szCs w:val="18"/>
                    </w:rPr>
                    <w:t>B1</w:t>
                  </w:r>
                </w:p>
                <w:p w:rsidR="006E4B97" w:rsidRDefault="008A0702">
                  <w:pPr>
                    <w:jc w:val="center"/>
                  </w:pPr>
                  <w:r>
                    <w:rPr>
                      <w:color w:val="666666"/>
                      <w:sz w:val="16"/>
                      <w:szCs w:val="16"/>
                    </w:rPr>
                    <w:t>Independent</w:t>
                  </w:r>
                </w:p>
              </w:tc>
              <w:tc>
                <w:tcPr>
                  <w:tcW w:w="1167" w:type="dxa"/>
                  <w:tcBorders>
                    <w:top w:val="single" w:sz="3" w:space="0" w:color="AAAAAA"/>
                    <w:left w:val="single" w:sz="3" w:space="0" w:color="AAAAAA"/>
                    <w:bottom w:val="single" w:sz="3" w:space="0" w:color="AAAAAA"/>
                    <w:right w:val="single" w:sz="3" w:space="0" w:color="AAAAAA"/>
                  </w:tcBorders>
                  <w:tcMar>
                    <w:top w:w="40" w:type="dxa"/>
                    <w:left w:w="40" w:type="dxa"/>
                    <w:bottom w:w="40" w:type="dxa"/>
                    <w:right w:w="40" w:type="dxa"/>
                  </w:tcMar>
                </w:tcPr>
                <w:p w:rsidR="006E4B97" w:rsidRDefault="008A0702">
                  <w:pPr>
                    <w:jc w:val="center"/>
                  </w:pPr>
                  <w:r>
                    <w:rPr>
                      <w:b/>
                      <w:bCs/>
                      <w:color w:val="1F1F1F"/>
                      <w:sz w:val="18"/>
                      <w:szCs w:val="18"/>
                    </w:rPr>
                    <w:t>A1</w:t>
                  </w:r>
                </w:p>
                <w:p w:rsidR="006E4B97" w:rsidRDefault="008A0702">
                  <w:pPr>
                    <w:jc w:val="center"/>
                  </w:pPr>
                  <w:r>
                    <w:rPr>
                      <w:color w:val="666666"/>
                      <w:sz w:val="16"/>
                      <w:szCs w:val="16"/>
                    </w:rPr>
                    <w:t>Elementar</w:t>
                  </w:r>
                </w:p>
              </w:tc>
            </w:tr>
          </w:tbl>
          <w:p w:rsidR="006E4B97" w:rsidRDefault="006E4B97"/>
        </w:tc>
      </w:tr>
      <w:tr w:rsidR="006E4B97" w:rsidRPr="00A54234"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130" w:type="dxa"/>
            </w:tcMar>
          </w:tcPr>
          <w:p w:rsidR="006E4B97" w:rsidRDefault="006E4B97"/>
        </w:tc>
        <w:tc>
          <w:tcPr>
            <w:tcW w:w="7154" w:type="dxa"/>
            <w:tcBorders>
              <w:top w:val="none" w:sz="0" w:space="0" w:color="FFFFFF"/>
              <w:left w:val="single" w:sz="2" w:space="0" w:color="AAAAAA"/>
              <w:bottom w:val="single" w:sz="2" w:space="0" w:color="DDDDDD"/>
              <w:right w:val="none" w:sz="0" w:space="0" w:color="FFFFFF"/>
            </w:tcBorders>
            <w:tcMar>
              <w:top w:w="20" w:type="dxa"/>
              <w:left w:w="140" w:type="dxa"/>
              <w:bottom w:w="30" w:type="dxa"/>
              <w:right w:w="0" w:type="dxa"/>
            </w:tcMar>
          </w:tcPr>
          <w:p w:rsidR="006E4B97" w:rsidRPr="00A54234" w:rsidRDefault="008A0702">
            <w:pPr>
              <w:rPr>
                <w:lang w:val="fr-FR"/>
              </w:rPr>
            </w:pPr>
            <w:r w:rsidRPr="00A54234">
              <w:rPr>
                <w:i/>
                <w:iCs/>
                <w:color w:val="666666"/>
                <w:sz w:val="16"/>
                <w:szCs w:val="16"/>
                <w:lang w:val="fr-FR"/>
              </w:rPr>
              <w:t>(*) Nivelul Cadrului European Comun de Referință Pentru Limbi Străine</w:t>
            </w:r>
          </w:p>
        </w:tc>
      </w:tr>
      <w:tr w:rsidR="006E4B97" w:rsidRPr="00A54234"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Pr="00A54234" w:rsidRDefault="006E4B97">
            <w:pPr>
              <w:spacing w:after="50"/>
              <w:rPr>
                <w:lang w:val="fr-FR"/>
              </w:rPr>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Pr="00A54234" w:rsidRDefault="006E4B97">
            <w:pPr>
              <w:spacing w:after="50"/>
              <w:rPr>
                <w:lang w:val="fr-FR"/>
              </w:rPr>
            </w:pPr>
          </w:p>
        </w:tc>
      </w:tr>
      <w:tr w:rsidR="006E4B97" w:rsidRPr="00A54234"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Competențe sociale</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Pr="00A54234" w:rsidRDefault="008A0702">
            <w:pPr>
              <w:rPr>
                <w:lang w:val="fr-FR"/>
              </w:rPr>
            </w:pPr>
            <w:r w:rsidRPr="00A54234">
              <w:rPr>
                <w:color w:val="1F1F1F"/>
                <w:lang w:val="fr-FR"/>
              </w:rPr>
              <w:t>Spirit de echipă, capacitate de integrare, abilități de comunicare.</w:t>
            </w:r>
          </w:p>
        </w:tc>
      </w:tr>
      <w:tr w:rsidR="006E4B97" w:rsidRPr="00A54234"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Pr="00A54234" w:rsidRDefault="006E4B97">
            <w:pPr>
              <w:spacing w:after="40"/>
              <w:rPr>
                <w:lang w:val="fr-FR"/>
              </w:rPr>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Pr="00A54234" w:rsidRDefault="006E4B97">
            <w:pPr>
              <w:spacing w:after="40"/>
              <w:rPr>
                <w:lang w:val="fr-FR"/>
              </w:rPr>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Competențe organizatorice</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 w:rsidRPr="00A54234">
              <w:rPr>
                <w:color w:val="1F1F1F"/>
                <w:lang w:val="fr-FR"/>
              </w:rPr>
              <w:t xml:space="preserve">Competențe de management de proiect dovedite prin implicarea în două proiecte de cercetare de complexitate ridicată. </w:t>
            </w:r>
            <w:r>
              <w:rPr>
                <w:color w:val="1F1F1F"/>
              </w:rPr>
              <w:t>Fondator al EndoScope Conference Timișoara. Abilitatea de a coordona echipe medicale și de a lua decizii în situații critice.</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Competențe tehnice</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rsidP="00D61F71">
            <w:r>
              <w:rPr>
                <w:color w:val="1F1F1F"/>
              </w:rPr>
              <w:t>Cunoștințe și abilități avansate în Gastroenterologie–Hepatologie–Endoscopie Digestivă: colonoscopie, ERCP, EUS</w:t>
            </w:r>
            <w:r w:rsidR="00D61F71">
              <w:rPr>
                <w:color w:val="1F1F1F"/>
              </w:rPr>
              <w:t xml:space="preserve"> diagnostic si intervențional, polipectomie endoscopică</w:t>
            </w:r>
            <w:r>
              <w:rPr>
                <w:color w:val="1F1F1F"/>
              </w:rPr>
              <w:t>, EUS elastografie. Abilități avansate în ultrasonografie endoscopică dobândite la IDL Care School of EUS Mumbai (2022) și WEO International School of EUS – WISE 2023.</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Permis de conducere</w:t>
            </w:r>
          </w:p>
        </w:tc>
        <w:tc>
          <w:tcPr>
            <w:tcW w:w="7154" w:type="dxa"/>
            <w:tcBorders>
              <w:top w:val="none" w:sz="0" w:space="0" w:color="FFFFFF"/>
              <w:left w:val="single" w:sz="2" w:space="0" w:color="AAAAAA"/>
              <w:bottom w:val="single" w:sz="5" w:space="0" w:color="888888"/>
              <w:right w:val="none" w:sz="0" w:space="0" w:color="FFFFFF"/>
            </w:tcBorders>
            <w:tcMar>
              <w:top w:w="50" w:type="dxa"/>
              <w:left w:w="140" w:type="dxa"/>
              <w:bottom w:w="50" w:type="dxa"/>
              <w:right w:w="0" w:type="dxa"/>
            </w:tcMar>
          </w:tcPr>
          <w:p w:rsidR="006E4B97" w:rsidRDefault="008A0702">
            <w:r>
              <w:rPr>
                <w:color w:val="1F1F1F"/>
              </w:rPr>
              <w:t>Categoria B</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200" w:type="dxa"/>
              <w:left w:w="0" w:type="dxa"/>
              <w:bottom w:w="80" w:type="dxa"/>
              <w:right w:w="130" w:type="dxa"/>
            </w:tcMar>
            <w:vAlign w:val="bottom"/>
          </w:tcPr>
          <w:p w:rsidR="006E4B97" w:rsidRDefault="008A0702">
            <w:pPr>
              <w:jc w:val="right"/>
            </w:pPr>
            <w:r>
              <w:rPr>
                <w:b/>
                <w:bCs/>
                <w:color w:val="1F1F1F"/>
                <w:sz w:val="22"/>
                <w:szCs w:val="22"/>
              </w:rPr>
              <w:t>Societăți profesionale</w:t>
            </w:r>
          </w:p>
        </w:tc>
        <w:tc>
          <w:tcPr>
            <w:tcW w:w="7154" w:type="dxa"/>
            <w:tcBorders>
              <w:top w:val="none" w:sz="0" w:space="0" w:color="FFFFFF"/>
              <w:left w:val="single" w:sz="2" w:space="0" w:color="AAAAAA"/>
              <w:bottom w:val="single" w:sz="8" w:space="0" w:color="AAAAAA"/>
              <w:right w:val="none" w:sz="0" w:space="0" w:color="FFFFFF"/>
            </w:tcBorders>
            <w:tcMar>
              <w:top w:w="200" w:type="dxa"/>
              <w:left w:w="140" w:type="dxa"/>
              <w:bottom w:w="8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Membrii</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Pr="00A54234" w:rsidRDefault="008A0702">
            <w:pPr>
              <w:spacing w:before="30" w:after="30"/>
              <w:rPr>
                <w:lang w:val="fr-FR"/>
              </w:rPr>
            </w:pPr>
            <w:r w:rsidRPr="00A54234">
              <w:rPr>
                <w:sz w:val="18"/>
                <w:szCs w:val="18"/>
                <w:lang w:val="fr-FR"/>
              </w:rPr>
              <w:t>2016 – prezent: SRGH – Societatea Română de Gastroenterologie și Hepatologie</w:t>
            </w:r>
          </w:p>
          <w:p w:rsidR="006E4B97" w:rsidRPr="00A54234" w:rsidRDefault="008A0702">
            <w:pPr>
              <w:spacing w:before="30" w:after="30"/>
              <w:rPr>
                <w:lang w:val="fr-FR"/>
              </w:rPr>
            </w:pPr>
            <w:r w:rsidRPr="00A54234">
              <w:rPr>
                <w:sz w:val="18"/>
                <w:szCs w:val="18"/>
                <w:lang w:val="fr-FR"/>
              </w:rPr>
              <w:t>2017 – prezent: SRED – Societatea Română de Endoscopie Digestivă (din 2024: Membru în Consiliul Director)</w:t>
            </w:r>
          </w:p>
          <w:p w:rsidR="006E4B97" w:rsidRPr="00A54234" w:rsidRDefault="008A0702">
            <w:pPr>
              <w:spacing w:before="30" w:after="30"/>
              <w:rPr>
                <w:lang w:val="fr-FR"/>
              </w:rPr>
            </w:pPr>
            <w:r w:rsidRPr="00A54234">
              <w:rPr>
                <w:sz w:val="18"/>
                <w:szCs w:val="18"/>
                <w:lang w:val="fr-FR"/>
              </w:rPr>
              <w:t>2018 – prezent: SRUMB – Societatea Română de Ultrasonografie Medicală</w:t>
            </w:r>
          </w:p>
          <w:p w:rsidR="006E4B97" w:rsidRDefault="008A0702">
            <w:pPr>
              <w:spacing w:before="30" w:after="30"/>
            </w:pPr>
            <w:r>
              <w:rPr>
                <w:sz w:val="18"/>
                <w:szCs w:val="18"/>
              </w:rPr>
              <w:t>2019 – prezent: ESGE – European Society of Gastrointestinal Endoscopy</w:t>
            </w:r>
          </w:p>
          <w:p w:rsidR="006E4B97" w:rsidRDefault="008A0702">
            <w:pPr>
              <w:spacing w:before="30" w:after="30"/>
            </w:pPr>
            <w:r>
              <w:rPr>
                <w:sz w:val="18"/>
                <w:szCs w:val="18"/>
              </w:rPr>
              <w:t>2020 – prezent: WEO – World Endoscopy Organization</w:t>
            </w:r>
          </w:p>
          <w:p w:rsidR="006E4B97" w:rsidRDefault="008A0702">
            <w:pPr>
              <w:spacing w:before="30" w:after="30"/>
            </w:pPr>
            <w:r>
              <w:rPr>
                <w:sz w:val="18"/>
                <w:szCs w:val="18"/>
              </w:rPr>
              <w:lastRenderedPageBreak/>
              <w:t>2021 – 2022: ESBRA – European Society for Biomedical Research on Alcoholism</w:t>
            </w: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200" w:type="dxa"/>
              <w:left w:w="0" w:type="dxa"/>
              <w:bottom w:w="80" w:type="dxa"/>
              <w:right w:w="130" w:type="dxa"/>
            </w:tcMar>
            <w:vAlign w:val="bottom"/>
          </w:tcPr>
          <w:p w:rsidR="006E4B97" w:rsidRDefault="008A0702">
            <w:pPr>
              <w:jc w:val="right"/>
            </w:pPr>
            <w:r>
              <w:rPr>
                <w:b/>
                <w:bCs/>
                <w:color w:val="1F1F1F"/>
                <w:sz w:val="22"/>
                <w:szCs w:val="22"/>
              </w:rPr>
              <w:lastRenderedPageBreak/>
              <w:t>Informații suplimentare</w:t>
            </w:r>
          </w:p>
        </w:tc>
        <w:tc>
          <w:tcPr>
            <w:tcW w:w="7154" w:type="dxa"/>
            <w:tcBorders>
              <w:top w:val="none" w:sz="0" w:space="0" w:color="FFFFFF"/>
              <w:left w:val="single" w:sz="2" w:space="0" w:color="AAAAAA"/>
              <w:bottom w:val="single" w:sz="8" w:space="0" w:color="AAAAAA"/>
              <w:right w:val="none" w:sz="0" w:space="0" w:color="FFFFFF"/>
            </w:tcBorders>
            <w:tcMar>
              <w:top w:w="200" w:type="dxa"/>
              <w:left w:w="140" w:type="dxa"/>
              <w:bottom w:w="80" w:type="dxa"/>
              <w:right w:w="0" w:type="dxa"/>
            </w:tcMar>
          </w:tcPr>
          <w:p w:rsidR="006E4B97" w:rsidRDefault="006E4B97"/>
        </w:tc>
      </w:tr>
      <w:tr w:rsidR="006E4B97" w:rsidTr="00267A07">
        <w:tc>
          <w:tcPr>
            <w:tcW w:w="2952"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6E4B97">
            <w:pPr>
              <w:spacing w:after="40"/>
            </w:pPr>
          </w:p>
        </w:tc>
        <w:tc>
          <w:tcPr>
            <w:tcW w:w="7154" w:type="dxa"/>
            <w:tcBorders>
              <w:top w:val="none" w:sz="0" w:space="0" w:color="FFFFFF"/>
              <w:left w:val="single" w:sz="2" w:space="0" w:color="AAAAAA"/>
              <w:bottom w:val="none" w:sz="0" w:space="0" w:color="FFFFFF"/>
              <w:right w:val="none" w:sz="0" w:space="0" w:color="FFFFFF"/>
            </w:tcBorders>
            <w:tcMar>
              <w:top w:w="0" w:type="dxa"/>
              <w:left w:w="0" w:type="dxa"/>
              <w:bottom w:w="0" w:type="dxa"/>
              <w:right w:w="0" w:type="dxa"/>
            </w:tcMar>
          </w:tcPr>
          <w:p w:rsidR="006E4B97" w:rsidRDefault="006E4B97">
            <w:pPr>
              <w:spacing w:after="40"/>
            </w:pPr>
          </w:p>
        </w:tc>
      </w:tr>
      <w:tr w:rsidR="006E4B97" w:rsidTr="00267A07">
        <w:tc>
          <w:tcPr>
            <w:tcW w:w="2952" w:type="dxa"/>
            <w:tcBorders>
              <w:top w:val="none" w:sz="0" w:space="0" w:color="FFFFFF"/>
              <w:left w:val="none" w:sz="0" w:space="0" w:color="FFFFFF"/>
              <w:bottom w:val="none" w:sz="0" w:space="0" w:color="FFFFFF"/>
              <w:right w:val="none" w:sz="0" w:space="0" w:color="FFFFFF"/>
            </w:tcBorders>
            <w:tcMar>
              <w:top w:w="50" w:type="dxa"/>
              <w:left w:w="0" w:type="dxa"/>
              <w:bottom w:w="50" w:type="dxa"/>
              <w:right w:w="130" w:type="dxa"/>
            </w:tcMar>
          </w:tcPr>
          <w:p w:rsidR="006E4B97" w:rsidRDefault="008A0702">
            <w:pPr>
              <w:jc w:val="right"/>
            </w:pPr>
            <w:r>
              <w:rPr>
                <w:i/>
                <w:iCs/>
                <w:color w:val="666666"/>
                <w:sz w:val="18"/>
                <w:szCs w:val="18"/>
              </w:rPr>
              <w:t>Referințe</w:t>
            </w:r>
          </w:p>
        </w:tc>
        <w:tc>
          <w:tcPr>
            <w:tcW w:w="7154" w:type="dxa"/>
            <w:tcBorders>
              <w:top w:val="none" w:sz="0" w:space="0" w:color="FFFFFF"/>
              <w:left w:val="single" w:sz="2" w:space="0" w:color="AAAAAA"/>
              <w:bottom w:val="single" w:sz="2" w:space="0" w:color="DDDDDD"/>
              <w:right w:val="none" w:sz="0" w:space="0" w:color="FFFFFF"/>
            </w:tcBorders>
            <w:tcMar>
              <w:top w:w="50" w:type="dxa"/>
              <w:left w:w="140" w:type="dxa"/>
              <w:bottom w:w="50" w:type="dxa"/>
              <w:right w:w="0" w:type="dxa"/>
            </w:tcMar>
          </w:tcPr>
          <w:p w:rsidR="006E4B97" w:rsidRDefault="008A0702">
            <w:pPr>
              <w:spacing w:before="30" w:after="30"/>
            </w:pPr>
            <w:r>
              <w:rPr>
                <w:sz w:val="18"/>
                <w:szCs w:val="18"/>
              </w:rPr>
              <w:t>Prof. Mouen Khashab – Johns Hopkins University School of Medicine, Baltimore, MD. mkhasha1@jhmi.edu</w:t>
            </w:r>
          </w:p>
          <w:p w:rsidR="006E4B97" w:rsidRPr="00A54234" w:rsidRDefault="008A0702">
            <w:pPr>
              <w:spacing w:before="30" w:after="30"/>
              <w:rPr>
                <w:lang w:val="fr-FR"/>
              </w:rPr>
            </w:pPr>
            <w:r w:rsidRPr="00A54234">
              <w:rPr>
                <w:sz w:val="18"/>
                <w:szCs w:val="18"/>
                <w:lang w:val="fr-FR"/>
              </w:rPr>
              <w:t>Prof. Marcel Tantau – Institutul Regional de Gastroenterologie și Hepatologie „Octavian Fodor" Cluj-Napoca. matantau@gmail.com</w:t>
            </w:r>
          </w:p>
          <w:p w:rsidR="006E4B97" w:rsidRDefault="008A0702">
            <w:pPr>
              <w:spacing w:before="30" w:after="30"/>
            </w:pPr>
            <w:r>
              <w:rPr>
                <w:sz w:val="18"/>
                <w:szCs w:val="18"/>
              </w:rPr>
              <w:t>Prof. Vinay Dhir – Division of Endosonography, Institute of Digestive and Liver Care, SL Raheja Hospital, Mumbai, India. vinaydhir@gmail.com</w:t>
            </w:r>
          </w:p>
        </w:tc>
      </w:tr>
      <w:tr w:rsidR="006E4B97">
        <w:tc>
          <w:tcPr>
            <w:tcW w:w="10106" w:type="dxa"/>
            <w:gridSpan w:val="2"/>
            <w:tcBorders>
              <w:top w:val="single" w:sz="4" w:space="0" w:color="AAAAAA"/>
              <w:left w:val="none" w:sz="0" w:space="0" w:color="FFFFFF"/>
              <w:bottom w:val="none" w:sz="0" w:space="0" w:color="FFFFFF"/>
              <w:right w:val="none" w:sz="0" w:space="0" w:color="FFFFFF"/>
            </w:tcBorders>
            <w:tcMar>
              <w:top w:w="80" w:type="dxa"/>
              <w:left w:w="0" w:type="dxa"/>
              <w:bottom w:w="40" w:type="dxa"/>
              <w:right w:w="0" w:type="dxa"/>
            </w:tcMar>
          </w:tcPr>
          <w:p w:rsidR="006E4B97" w:rsidRDefault="006E4B97"/>
        </w:tc>
      </w:tr>
    </w:tbl>
    <w:p w:rsidR="006E4B97" w:rsidRDefault="006E4B97">
      <w:pPr>
        <w:sectPr w:rsidR="006E4B97">
          <w:pgSz w:w="11906" w:h="16838"/>
          <w:pgMar w:top="900" w:right="900" w:bottom="900" w:left="900" w:header="708" w:footer="708" w:gutter="0"/>
          <w:cols w:space="720"/>
          <w:docGrid w:linePitch="360"/>
        </w:sectPr>
      </w:pPr>
    </w:p>
    <w:tbl>
      <w:tblPr>
        <w:tblW w:w="1010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6E4B97" w:rsidRPr="00A54234">
        <w:tc>
          <w:tcPr>
            <w:tcW w:w="10106" w:type="dxa"/>
            <w:tcBorders>
              <w:top w:val="none" w:sz="0" w:space="0" w:color="FFFFFF"/>
              <w:left w:val="none" w:sz="0" w:space="0" w:color="FFFFFF"/>
              <w:bottom w:val="none" w:sz="0" w:space="0" w:color="FFFFFF"/>
              <w:right w:val="none" w:sz="0" w:space="0" w:color="FFFFFF"/>
            </w:tcBorders>
            <w:tcMar>
              <w:top w:w="0" w:type="dxa"/>
              <w:left w:w="0" w:type="dxa"/>
              <w:bottom w:w="160" w:type="dxa"/>
              <w:right w:w="0" w:type="dxa"/>
            </w:tcMar>
          </w:tcPr>
          <w:p w:rsidR="006E4B97" w:rsidRPr="00A54234" w:rsidRDefault="008A0702">
            <w:pPr>
              <w:rPr>
                <w:lang w:val="fr-FR"/>
              </w:rPr>
            </w:pPr>
            <w:r w:rsidRPr="00A54234">
              <w:rPr>
                <w:b/>
                <w:bCs/>
                <w:color w:val="1F1F1F"/>
                <w:sz w:val="24"/>
                <w:szCs w:val="24"/>
                <w:lang w:val="fr-FR"/>
              </w:rPr>
              <w:lastRenderedPageBreak/>
              <w:t>Lista de articole științifice publicate și comunicări</w:t>
            </w:r>
          </w:p>
        </w:tc>
      </w:tr>
      <w:tr w:rsidR="006E4B97">
        <w:tc>
          <w:tcPr>
            <w:tcW w:w="10106" w:type="dxa"/>
            <w:tcBorders>
              <w:top w:val="none" w:sz="0" w:space="0" w:color="FFFFFF"/>
              <w:left w:val="none" w:sz="0" w:space="0" w:color="FFFFFF"/>
              <w:bottom w:val="none" w:sz="0" w:space="0" w:color="FFFFFF"/>
              <w:right w:val="none" w:sz="0" w:space="0" w:color="FFFFFF"/>
            </w:tcBorders>
            <w:tcMar>
              <w:top w:w="120" w:type="dxa"/>
              <w:left w:w="0" w:type="dxa"/>
              <w:bottom w:w="40" w:type="dxa"/>
              <w:right w:w="0" w:type="dxa"/>
            </w:tcMar>
          </w:tcPr>
          <w:p w:rsidR="006E4B97" w:rsidRDefault="008A0702">
            <w:r>
              <w:rPr>
                <w:b/>
                <w:bCs/>
                <w:color w:val="1F1F1F"/>
                <w:sz w:val="22"/>
                <w:szCs w:val="22"/>
              </w:rPr>
              <w:t>Capitole de carte</w:t>
            </w:r>
          </w:p>
        </w:tc>
      </w:tr>
      <w:tr w:rsidR="0027015D">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27015D" w:rsidRPr="002A5C13" w:rsidRDefault="0027015D" w:rsidP="0027015D">
            <w:pPr>
              <w:rPr>
                <w:rFonts w:asciiTheme="minorHAnsi" w:hAnsiTheme="minorHAnsi" w:cstheme="minorHAnsi"/>
                <w:color w:val="222222"/>
                <w:sz w:val="18"/>
                <w:szCs w:val="18"/>
                <w:shd w:val="clear" w:color="auto" w:fill="FFFFFF"/>
              </w:rPr>
            </w:pPr>
            <w:r w:rsidRPr="002A5C13">
              <w:rPr>
                <w:rFonts w:asciiTheme="minorHAnsi" w:hAnsiTheme="minorHAnsi" w:cstheme="minorHAnsi"/>
                <w:color w:val="222222"/>
                <w:sz w:val="18"/>
                <w:szCs w:val="18"/>
                <w:shd w:val="clear" w:color="auto" w:fill="FFFFFF"/>
              </w:rPr>
              <w:t>E Miutescu, B Miutescu. Advances in Colorectal Cancer Screening. “What is New in Gastroenterology and Hepatology”, Ioan Sporea, Alina Popescu - Bentham Science Publishers 2021</w:t>
            </w:r>
          </w:p>
          <w:p w:rsidR="0027015D" w:rsidRPr="002A5C13" w:rsidRDefault="0027015D" w:rsidP="0027015D">
            <w:pPr>
              <w:rPr>
                <w:rFonts w:asciiTheme="minorHAnsi" w:hAnsiTheme="minorHAnsi" w:cstheme="minorHAnsi"/>
                <w:color w:val="222222"/>
                <w:sz w:val="18"/>
                <w:szCs w:val="18"/>
                <w:shd w:val="clear" w:color="auto" w:fill="FFFFFF"/>
              </w:rPr>
            </w:pPr>
          </w:p>
        </w:tc>
      </w:tr>
      <w:tr w:rsidR="0027015D">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27015D" w:rsidRPr="002A5C13" w:rsidRDefault="0027015D" w:rsidP="0027015D">
            <w:pPr>
              <w:rPr>
                <w:rFonts w:asciiTheme="minorHAnsi" w:hAnsiTheme="minorHAnsi" w:cstheme="minorHAnsi"/>
                <w:color w:val="222222"/>
                <w:sz w:val="18"/>
                <w:szCs w:val="18"/>
                <w:shd w:val="clear" w:color="auto" w:fill="FFFFFF"/>
              </w:rPr>
            </w:pPr>
            <w:r w:rsidRPr="002A5C13">
              <w:rPr>
                <w:rFonts w:asciiTheme="minorHAnsi" w:hAnsiTheme="minorHAnsi" w:cstheme="minorHAnsi"/>
                <w:color w:val="222222"/>
                <w:sz w:val="18"/>
                <w:szCs w:val="18"/>
                <w:shd w:val="clear" w:color="auto" w:fill="FFFFFF"/>
              </w:rPr>
              <w:t>Bogdan Miuțescu, Alexandru Popa, Adrian Săftoiu Chapter 6. The role of Elastography in pancreatic pathology. Textbook of elastography -  Ioan Sporea, Roxana Șirli, Alina Popescu, Dana Stoian, CNCSIS nr. 324, ISBN 978-606-786-416-8.</w:t>
            </w:r>
          </w:p>
          <w:p w:rsidR="0027015D" w:rsidRPr="002A5C13" w:rsidRDefault="0027015D" w:rsidP="0027015D">
            <w:pPr>
              <w:rPr>
                <w:rFonts w:asciiTheme="minorHAnsi" w:hAnsiTheme="minorHAnsi" w:cstheme="minorHAnsi"/>
                <w:color w:val="222222"/>
                <w:sz w:val="18"/>
                <w:szCs w:val="18"/>
                <w:shd w:val="clear" w:color="auto" w:fill="FFFFFF"/>
              </w:rPr>
            </w:pPr>
          </w:p>
        </w:tc>
      </w:tr>
      <w:tr w:rsidR="0027015D">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27015D" w:rsidRPr="002A5C13" w:rsidRDefault="0027015D" w:rsidP="0027015D">
            <w:pPr>
              <w:rPr>
                <w:rFonts w:asciiTheme="minorHAnsi" w:hAnsiTheme="minorHAnsi" w:cstheme="minorHAnsi"/>
                <w:color w:val="222222"/>
                <w:sz w:val="18"/>
                <w:szCs w:val="18"/>
                <w:shd w:val="clear" w:color="auto" w:fill="FFFFFF"/>
              </w:rPr>
            </w:pPr>
            <w:r w:rsidRPr="002A5C13">
              <w:rPr>
                <w:rFonts w:asciiTheme="minorHAnsi" w:hAnsiTheme="minorHAnsi" w:cstheme="minorHAnsi"/>
                <w:color w:val="222222"/>
                <w:sz w:val="18"/>
                <w:szCs w:val="18"/>
                <w:shd w:val="clear" w:color="auto" w:fill="FFFFFF"/>
              </w:rPr>
              <w:t>Eftimie Miutescu, Bogdan Miutescu, Dana Iovanescu. Leziunile ano-perineale ale bolii Crohn. Dan Olteanu, Mioara Rizescu. Caiete de Gastroenterologie si Hepatologie Partea I, Partea II- 2008 Editura Semne ISBN 978-973-624-606-7.</w:t>
            </w:r>
          </w:p>
          <w:p w:rsidR="0027015D" w:rsidRPr="002A5C13" w:rsidRDefault="0027015D" w:rsidP="0027015D">
            <w:pPr>
              <w:rPr>
                <w:rFonts w:asciiTheme="minorHAnsi" w:hAnsiTheme="minorHAnsi" w:cstheme="minorHAnsi"/>
                <w:color w:val="222222"/>
                <w:sz w:val="18"/>
                <w:szCs w:val="18"/>
                <w:shd w:val="clear" w:color="auto" w:fill="FFFFFF"/>
              </w:rPr>
            </w:pPr>
          </w:p>
        </w:tc>
      </w:tr>
      <w:tr w:rsidR="0027015D">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27015D" w:rsidRPr="002A5C13" w:rsidRDefault="0027015D" w:rsidP="0027015D">
            <w:pPr>
              <w:rPr>
                <w:rFonts w:asciiTheme="minorHAnsi" w:hAnsiTheme="minorHAnsi" w:cstheme="minorHAnsi"/>
                <w:color w:val="222222"/>
                <w:sz w:val="18"/>
                <w:szCs w:val="18"/>
                <w:shd w:val="clear" w:color="auto" w:fill="FFFFFF"/>
              </w:rPr>
            </w:pPr>
            <w:r w:rsidRPr="002A5C13">
              <w:rPr>
                <w:rFonts w:asciiTheme="minorHAnsi" w:hAnsiTheme="minorHAnsi" w:cstheme="minorHAnsi"/>
                <w:color w:val="222222"/>
                <w:sz w:val="18"/>
                <w:szCs w:val="18"/>
                <w:shd w:val="clear" w:color="auto" w:fill="FFFFFF"/>
              </w:rPr>
              <w:t>B Miutescu, A Saftoiu. Chapter:How can I use US in pancreatic pathology.  Integrating ultrasound in clinical practice. „Victor Babeş” Publishing House 2025 ISBN 978-606-786-461-8</w:t>
            </w:r>
          </w:p>
          <w:p w:rsidR="0027015D" w:rsidRPr="002A5C13" w:rsidRDefault="0027015D" w:rsidP="0027015D">
            <w:pPr>
              <w:rPr>
                <w:rFonts w:asciiTheme="minorHAnsi" w:hAnsiTheme="minorHAnsi" w:cstheme="minorHAnsi"/>
                <w:color w:val="222222"/>
                <w:sz w:val="18"/>
                <w:szCs w:val="18"/>
                <w:shd w:val="clear" w:color="auto" w:fill="FFFFFF"/>
              </w:rPr>
            </w:pPr>
          </w:p>
        </w:tc>
      </w:tr>
      <w:tr w:rsidR="0027015D">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27015D" w:rsidRPr="002A5C13" w:rsidRDefault="0027015D" w:rsidP="0027015D">
            <w:pPr>
              <w:rPr>
                <w:rFonts w:asciiTheme="minorHAnsi" w:hAnsiTheme="minorHAnsi" w:cstheme="minorHAnsi"/>
                <w:color w:val="222222"/>
                <w:sz w:val="18"/>
                <w:szCs w:val="18"/>
                <w:shd w:val="clear" w:color="auto" w:fill="FFFFFF"/>
              </w:rPr>
            </w:pPr>
            <w:r w:rsidRPr="002A5C13">
              <w:rPr>
                <w:rFonts w:asciiTheme="minorHAnsi" w:hAnsiTheme="minorHAnsi" w:cstheme="minorHAnsi"/>
                <w:color w:val="222222"/>
                <w:sz w:val="18"/>
                <w:szCs w:val="18"/>
                <w:shd w:val="clear" w:color="auto" w:fill="FFFFFF"/>
              </w:rPr>
              <w:t xml:space="preserve">B Miutescu, A Popescu, I Sporea. Tratamentul biologic conventional in bolile inflamatorii </w:t>
            </w:r>
          </w:p>
          <w:p w:rsidR="0027015D" w:rsidRPr="002A5C13" w:rsidRDefault="0027015D" w:rsidP="0027015D">
            <w:pPr>
              <w:rPr>
                <w:rFonts w:asciiTheme="minorHAnsi" w:hAnsiTheme="minorHAnsi" w:cstheme="minorHAnsi"/>
                <w:color w:val="222222"/>
                <w:sz w:val="18"/>
                <w:szCs w:val="18"/>
                <w:shd w:val="clear" w:color="auto" w:fill="FFFFFF"/>
              </w:rPr>
            </w:pPr>
            <w:r w:rsidRPr="002A5C13">
              <w:rPr>
                <w:rFonts w:asciiTheme="minorHAnsi" w:hAnsiTheme="minorHAnsi" w:cstheme="minorHAnsi"/>
                <w:color w:val="222222"/>
                <w:sz w:val="18"/>
                <w:szCs w:val="18"/>
                <w:shd w:val="clear" w:color="auto" w:fill="FFFFFF"/>
              </w:rPr>
              <w:t>intstinale. “Acutalitati in Medicina Interna in 2020” L. Gherasim, A. Oproiu, Ed. Medicala, 2020.</w:t>
            </w:r>
          </w:p>
        </w:tc>
      </w:tr>
      <w:tr w:rsidR="006E4B97">
        <w:tc>
          <w:tcPr>
            <w:tcW w:w="10106" w:type="dxa"/>
            <w:tcBorders>
              <w:top w:val="none" w:sz="0" w:space="0" w:color="FFFFFF"/>
              <w:left w:val="none" w:sz="0" w:space="0" w:color="FFFFFF"/>
              <w:bottom w:val="none" w:sz="0" w:space="0" w:color="FFFFFF"/>
              <w:right w:val="none" w:sz="0" w:space="0" w:color="FFFFFF"/>
            </w:tcBorders>
            <w:tcMar>
              <w:top w:w="120" w:type="dxa"/>
              <w:left w:w="0" w:type="dxa"/>
              <w:bottom w:w="40" w:type="dxa"/>
              <w:right w:w="0" w:type="dxa"/>
            </w:tcMar>
          </w:tcPr>
          <w:p w:rsidR="006E4B97" w:rsidRDefault="008A0702">
            <w:r>
              <w:rPr>
                <w:b/>
                <w:bCs/>
                <w:color w:val="1F1F1F"/>
                <w:sz w:val="22"/>
                <w:szCs w:val="22"/>
              </w:rPr>
              <w:t>Articole publicate – Selecție (2025–2026)</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t>Miutescu B,</w:t>
            </w:r>
            <w:r>
              <w:rPr>
                <w:sz w:val="18"/>
                <w:szCs w:val="18"/>
              </w:rPr>
              <w:t xml:space="preserve"> Bende R, Bende F, Burdan A, Gadour E, Ghiuchici AM, Alomar M, Burciu C, AlQahtani MS, Sirli R, Popescu A, Ratiu I. Assessment of Intra-Individual Variability and Reproducibility in Pancreatic EUS-Guided Elastography. Diagnostics (Basel). 2025;15(20):2601.</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Serena P, Mare R, </w:t>
            </w:r>
            <w:r>
              <w:rPr>
                <w:b/>
                <w:bCs/>
                <w:sz w:val="18"/>
                <w:szCs w:val="18"/>
              </w:rPr>
              <w:t>Miutescu B,</w:t>
            </w:r>
            <w:r>
              <w:rPr>
                <w:sz w:val="18"/>
                <w:szCs w:val="18"/>
              </w:rPr>
              <w:t xml:space="preserve"> Bende R, Popa A, Aragona G, Secaman E, Serena L, Barbulescu A, Sirli R. Resistance to Clarithromycin and Fluoroquinolones in Helicobacter pylori Isolates: A Prospective Molecular Analysis in Western Romania. Antibiotics (Basel). 2025;14(12):1223.</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Popa A, Sporea I, Sirli R, Bende R, Popescu A, Danila M, Nica C, Burciu C, </w:t>
            </w:r>
            <w:r>
              <w:rPr>
                <w:b/>
                <w:bCs/>
                <w:sz w:val="18"/>
                <w:szCs w:val="18"/>
              </w:rPr>
              <w:t>Miutescu B,</w:t>
            </w:r>
            <w:r>
              <w:rPr>
                <w:sz w:val="18"/>
                <w:szCs w:val="18"/>
              </w:rPr>
              <w:t xml:space="preserve"> et al. Multiparametric Quantitative Ultrasound for Hepatic Steatosis: Comparison with CAP. Diagnostics (Basel). 2025;15(24):3119.</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Lupusoru R, Moleriu LC, Mare R, Sporea I, Popescu A, Sirli R, Goldis A, Nica C, Moga TV, </w:t>
            </w:r>
            <w:r>
              <w:rPr>
                <w:b/>
                <w:bCs/>
                <w:sz w:val="18"/>
                <w:szCs w:val="18"/>
              </w:rPr>
              <w:t>Miutescu B,</w:t>
            </w:r>
            <w:r>
              <w:rPr>
                <w:sz w:val="18"/>
                <w:szCs w:val="18"/>
              </w:rPr>
              <w:t xml:space="preserve"> et al. AI-Guided Multi-Omic Microbiome Modulation Improves Clinical and Inflammatory Outcomes in Refractory IBD. Int J Mol Sci. 2025;27(1):201.</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Koppandi O, </w:t>
            </w:r>
            <w:r>
              <w:rPr>
                <w:b/>
                <w:bCs/>
                <w:sz w:val="18"/>
                <w:szCs w:val="18"/>
              </w:rPr>
              <w:t>Miutescu B,</w:t>
            </w:r>
            <w:r>
              <w:rPr>
                <w:sz w:val="18"/>
                <w:szCs w:val="18"/>
              </w:rPr>
              <w:t xml:space="preserve"> Ratiu I, Popa A, Nica C, Gadour E, Totolici BD, Lupusoru R, Ghiuchici AM, Miutescu E. Longitudinal Changes in Lipid Profile After Sustained Virological Response in Hepatitis C Treated with Direct-Acting Antivirals. Healthcare (Basel). 2026;14(4):486.</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Koppandi O, Iovanescu D, </w:t>
            </w:r>
            <w:r>
              <w:rPr>
                <w:b/>
                <w:bCs/>
                <w:sz w:val="18"/>
                <w:szCs w:val="18"/>
              </w:rPr>
              <w:t>Miutescu B,</w:t>
            </w:r>
            <w:r>
              <w:rPr>
                <w:sz w:val="18"/>
                <w:szCs w:val="18"/>
              </w:rPr>
              <w:t xml:space="preserve"> Gadour E, et al. Assessing Quality of Life in Hepatitis C Patients: Improvements Following Direct-Acting Antiviral Therapy. Healthcare (Basel). 2025;13(23):3007.</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Gunisahin D, Sandru V, Constantinescu G, Ilie M, </w:t>
            </w:r>
            <w:r>
              <w:rPr>
                <w:b/>
                <w:bCs/>
                <w:sz w:val="18"/>
                <w:szCs w:val="18"/>
              </w:rPr>
              <w:t>Miutescu B,</w:t>
            </w:r>
            <w:r>
              <w:rPr>
                <w:sz w:val="18"/>
                <w:szCs w:val="18"/>
              </w:rPr>
              <w:t xml:space="preserve"> et al. A Comprehensive Review of Digestive Endoscopy-Associated Infections. Microorganisms. 2025;13(9):2128.</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Gadour E, </w:t>
            </w:r>
            <w:r>
              <w:rPr>
                <w:b/>
                <w:bCs/>
                <w:sz w:val="18"/>
                <w:szCs w:val="18"/>
              </w:rPr>
              <w:t>Miutescu B,</w:t>
            </w:r>
            <w:r>
              <w:rPr>
                <w:sz w:val="18"/>
                <w:szCs w:val="18"/>
              </w:rPr>
              <w:t xml:space="preserve"> Al-Lehibi A, Mohamed M, et al. Confocal Laser Endomicroscopy: Real-Time Histology at the Fingertips. Medicina (Kaunas). 2026;62(2):415.</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Gadour E, </w:t>
            </w:r>
            <w:r>
              <w:rPr>
                <w:b/>
                <w:bCs/>
                <w:sz w:val="18"/>
                <w:szCs w:val="18"/>
              </w:rPr>
              <w:t>Miutescu B,</w:t>
            </w:r>
            <w:r>
              <w:rPr>
                <w:sz w:val="18"/>
                <w:szCs w:val="18"/>
              </w:rPr>
              <w:t xml:space="preserve"> Kuriry H, Nica C, et al. Incidence of de novo Lymphoproliferative Disorders in Liver Transplant Recipients: An Updated Meta-Analysis. Saudi J Med Med Sci. 2026;14(1):23-35.</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Gadour E, </w:t>
            </w:r>
            <w:r>
              <w:rPr>
                <w:b/>
                <w:bCs/>
                <w:sz w:val="18"/>
                <w:szCs w:val="18"/>
              </w:rPr>
              <w:t>Miutescu B,</w:t>
            </w:r>
            <w:r>
              <w:rPr>
                <w:sz w:val="18"/>
                <w:szCs w:val="18"/>
              </w:rPr>
              <w:t xml:space="preserve"> Raheem B, Al-Lehibi A, et al. Three-Dimensional Reconstruction and Navigation Systems in Endoscopic Ultrasound Procedures. Diagnostics (Basel). 2026;16(2):366.</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Gadour E, </w:t>
            </w:r>
            <w:r>
              <w:rPr>
                <w:b/>
                <w:bCs/>
                <w:sz w:val="18"/>
                <w:szCs w:val="18"/>
              </w:rPr>
              <w:t>Miutescu B,</w:t>
            </w:r>
            <w:r>
              <w:rPr>
                <w:sz w:val="18"/>
                <w:szCs w:val="18"/>
              </w:rPr>
              <w:t xml:space="preserve"> Alqahtani MS, Vuletici D, Facciorusso A. Diagnostic challenges in progressive familial intrahepatic cholestasis type 3 (PFIC3). Adv Clin Exp Med. 2026 Jan 21.</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Gadour E, </w:t>
            </w:r>
            <w:r>
              <w:rPr>
                <w:b/>
                <w:bCs/>
                <w:sz w:val="18"/>
                <w:szCs w:val="18"/>
              </w:rPr>
              <w:t>Miutescu B,</w:t>
            </w:r>
            <w:r>
              <w:rPr>
                <w:sz w:val="18"/>
                <w:szCs w:val="18"/>
              </w:rPr>
              <w:t xml:space="preserve"> AlQahtani MS, Varciu A, et al. ERCP versus percutaneous transhepatic procedures in post-liver transplantation biliary complications: A systematic review. Saudi J Gastroenterol. 2026 Jan 12.</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Gadour E, </w:t>
            </w:r>
            <w:r>
              <w:rPr>
                <w:b/>
                <w:bCs/>
                <w:sz w:val="18"/>
                <w:szCs w:val="18"/>
              </w:rPr>
              <w:t>Miutescu B,</w:t>
            </w:r>
            <w:r>
              <w:rPr>
                <w:sz w:val="18"/>
                <w:szCs w:val="18"/>
              </w:rPr>
              <w:t xml:space="preserve"> Kuriry H, Hassan Z, et al. Dietary interventions vs octreotide for post liver transplantation chylous ascites: A scoping review. World J Transplant. 2025;15(4):108413.</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Gadour E, </w:t>
            </w:r>
            <w:r>
              <w:rPr>
                <w:b/>
                <w:bCs/>
                <w:sz w:val="18"/>
                <w:szCs w:val="18"/>
              </w:rPr>
              <w:t>Miutescu B,</w:t>
            </w:r>
            <w:r>
              <w:rPr>
                <w:sz w:val="18"/>
                <w:szCs w:val="18"/>
              </w:rPr>
              <w:t xml:space="preserve"> Okasha HH, Ghiuchici AM, AlQahtani MS. Diagnostic yield of video capsule endoscopy vs simple balloon enteroscopy. World J Gastrointest Endosc. 2025;17(7):108264.</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Gadour E, </w:t>
            </w:r>
            <w:r>
              <w:rPr>
                <w:b/>
                <w:bCs/>
                <w:sz w:val="18"/>
                <w:szCs w:val="18"/>
              </w:rPr>
              <w:t>Miutescu B,</w:t>
            </w:r>
            <w:r>
              <w:rPr>
                <w:sz w:val="18"/>
                <w:szCs w:val="18"/>
              </w:rPr>
              <w:t xml:space="preserve"> Okasha HH, Albeshir M, et al. Evolving role of endoscopic ultrasound in biliary stricture management. World J Gastrointest Endosc. 2025;17(7):108541.</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Eddin AJ, Stanciugelu SI, Damian AD, </w:t>
            </w:r>
            <w:r>
              <w:rPr>
                <w:b/>
                <w:bCs/>
                <w:sz w:val="18"/>
                <w:szCs w:val="18"/>
              </w:rPr>
              <w:t>Miutescu BP,</w:t>
            </w:r>
            <w:r>
              <w:rPr>
                <w:sz w:val="18"/>
                <w:szCs w:val="18"/>
              </w:rPr>
              <w:t xml:space="preserve"> et al. ABO Blood Group and Biomarker-Based Risk in Acute Pulmonary Embolism. J Clin Med. 2026;15(4):1432.</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AlQahtani MS, </w:t>
            </w:r>
            <w:r>
              <w:rPr>
                <w:b/>
                <w:bCs/>
                <w:sz w:val="18"/>
                <w:szCs w:val="18"/>
              </w:rPr>
              <w:t>Miutescu B,</w:t>
            </w:r>
            <w:r>
              <w:rPr>
                <w:sz w:val="18"/>
                <w:szCs w:val="18"/>
              </w:rPr>
              <w:t xml:space="preserve"> Domilescu I, Negru S, Gadour E. Efficacy and Safety of Non-Surgical Treatments for Pancreatic Neuroendocrine Tumors. Pharmaceuticals (Basel). 2025;18(11):1650.</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Hollenbach M, Heise C, Abou-Ali E, ..., </w:t>
            </w:r>
            <w:r>
              <w:rPr>
                <w:b/>
                <w:bCs/>
                <w:sz w:val="18"/>
                <w:szCs w:val="18"/>
              </w:rPr>
              <w:t>Miutescu BP,</w:t>
            </w:r>
            <w:r>
              <w:rPr>
                <w:sz w:val="18"/>
                <w:szCs w:val="18"/>
              </w:rPr>
              <w:t xml:space="preserve"> Tantau M, ..., ESAP study group. Endoscopic papillectomy versus surgical ampullectomy for adenomas and early cancers of the papilla. Gut. 2025;74(3):397-409.</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Burciu C, </w:t>
            </w:r>
            <w:r>
              <w:rPr>
                <w:b/>
                <w:bCs/>
                <w:sz w:val="18"/>
                <w:szCs w:val="18"/>
              </w:rPr>
              <w:t>Miutescu B,</w:t>
            </w:r>
            <w:r>
              <w:rPr>
                <w:sz w:val="18"/>
                <w:szCs w:val="18"/>
              </w:rPr>
              <w:t xml:space="preserve"> Bende R, et al. Effects of the COVID-19 Pandemic on Hepatocellular Carcinoma Diagnosis and Mortality in Western Romania. Cancers (Basel). 2025;17(10):1660.</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lastRenderedPageBreak/>
              <w:t xml:space="preserve">Gadour E, </w:t>
            </w:r>
            <w:r>
              <w:rPr>
                <w:b/>
                <w:bCs/>
                <w:sz w:val="18"/>
                <w:szCs w:val="18"/>
              </w:rPr>
              <w:t>Miutescu B,</w:t>
            </w:r>
            <w:r>
              <w:rPr>
                <w:sz w:val="18"/>
                <w:szCs w:val="18"/>
              </w:rPr>
              <w:t xml:space="preserve"> et al. Efficacy and Safety of Novel Oral Anti-Cholestatic Agents for Primary Biliary Cholangitis. Pharmaceuticals (Basel). 2025;18(5):697.</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Trung KV, Abou-Ali E, Gulla A, ..., Hollenbach M. Development and Validation of the SDLD-Score to Predict Successful Endoscopic Papillectomy. Gastrointest Endosc. 2025 May 29.</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Gadour E, Shrwani KJ, Hassan Z, </w:t>
            </w:r>
            <w:r>
              <w:rPr>
                <w:b/>
                <w:bCs/>
                <w:sz w:val="18"/>
                <w:szCs w:val="18"/>
              </w:rPr>
              <w:t>Miutescu B.</w:t>
            </w:r>
            <w:r>
              <w:rPr>
                <w:sz w:val="18"/>
                <w:szCs w:val="18"/>
              </w:rPr>
              <w:t xml:space="preserve"> The role of gut microbiota in modulating immune responses in chronic liver disease: a meta-analysis. Front Immunol. 2025;16:1556576.</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Domilescu I, </w:t>
            </w:r>
            <w:r>
              <w:rPr>
                <w:b/>
                <w:bCs/>
                <w:sz w:val="18"/>
                <w:szCs w:val="18"/>
              </w:rPr>
              <w:t>Miutescu B,</w:t>
            </w:r>
            <w:r>
              <w:rPr>
                <w:sz w:val="18"/>
                <w:szCs w:val="18"/>
              </w:rPr>
              <w:t xml:space="preserve"> Horhat FG, et al. Gut-Microbiome Signatures Predicting Response to Neoadjuvant Chemoradiotherapy in Locally Advanced Rectal Cancer. Metabolites. 2025;15(6):412.</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Okasha HH, Altonbary AY, Ragab K, ..., </w:t>
            </w:r>
            <w:r>
              <w:rPr>
                <w:b/>
                <w:bCs/>
                <w:sz w:val="18"/>
                <w:szCs w:val="18"/>
              </w:rPr>
              <w:t>Miutescu B,</w:t>
            </w:r>
            <w:r>
              <w:rPr>
                <w:sz w:val="18"/>
                <w:szCs w:val="18"/>
              </w:rPr>
              <w:t xml:space="preserve"> Gadour E. EUS-guided radiofrequency ablation and ethanol ablation of pancreatic neuroendocrine tumors. Prz Gastroenterol. 2025;20(2):158-164.</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Serena P, </w:t>
            </w:r>
            <w:r>
              <w:rPr>
                <w:b/>
                <w:bCs/>
                <w:sz w:val="18"/>
                <w:szCs w:val="18"/>
              </w:rPr>
              <w:t>Miutescu B,</w:t>
            </w:r>
            <w:r>
              <w:rPr>
                <w:sz w:val="18"/>
                <w:szCs w:val="18"/>
              </w:rPr>
              <w:t xml:space="preserve"> Gadour E, et al. Delayed Diagnosis and Evolving Trends in Gastric Cancer During and After COVID-19 in Western Romania. Diagnostics. 2025;15:950.</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Gadour E, </w:t>
            </w:r>
            <w:r>
              <w:rPr>
                <w:b/>
                <w:bCs/>
                <w:sz w:val="18"/>
                <w:szCs w:val="18"/>
              </w:rPr>
              <w:t>Miutescu B,</w:t>
            </w:r>
            <w:r>
              <w:rPr>
                <w:sz w:val="18"/>
                <w:szCs w:val="18"/>
              </w:rPr>
              <w:t xml:space="preserve"> Al Ghamdi S, et al. Diagnostic accuracy of ROSE versus MOSE in EUS-guided sampling: a systematic review. Frontline Gastroenterology. 2025 Apr 15.</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Ratiu I, Bende R, Nica C, et al., </w:t>
            </w:r>
            <w:r>
              <w:rPr>
                <w:b/>
                <w:bCs/>
                <w:sz w:val="18"/>
                <w:szCs w:val="18"/>
              </w:rPr>
              <w:t>Miutescu B.</w:t>
            </w:r>
            <w:r>
              <w:rPr>
                <w:sz w:val="18"/>
                <w:szCs w:val="18"/>
              </w:rPr>
              <w:t xml:space="preserve"> Prediction Models of Severity in Acute Biliary Pancreatitis. Diagnostics (Basel). 2025;15(2):126.</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Moga TV, Lupusoru R, Danila M, ..., </w:t>
            </w:r>
            <w:r>
              <w:rPr>
                <w:b/>
                <w:bCs/>
                <w:sz w:val="18"/>
                <w:szCs w:val="18"/>
              </w:rPr>
              <w:t>Miutescu B,</w:t>
            </w:r>
            <w:r>
              <w:rPr>
                <w:sz w:val="18"/>
                <w:szCs w:val="18"/>
              </w:rPr>
              <w:t xml:space="preserve"> et al. Challenges in Diagnosing Focal Liver Lesions Using Contrast-Enhanced Ultrasound. Diagnostics (Basel). 2024;15(1):46.</w:t>
            </w:r>
          </w:p>
        </w:tc>
      </w:tr>
      <w:tr w:rsidR="006E4B97">
        <w:tc>
          <w:tcPr>
            <w:tcW w:w="10106" w:type="dxa"/>
            <w:tcBorders>
              <w:top w:val="none" w:sz="0" w:space="0" w:color="FFFFFF"/>
              <w:left w:val="none" w:sz="0" w:space="0" w:color="FFFFFF"/>
              <w:bottom w:val="none" w:sz="0" w:space="0" w:color="FFFFFF"/>
              <w:right w:val="none" w:sz="0" w:space="0" w:color="FFFFFF"/>
            </w:tcBorders>
            <w:tcMar>
              <w:top w:w="120" w:type="dxa"/>
              <w:left w:w="0" w:type="dxa"/>
              <w:bottom w:w="40" w:type="dxa"/>
              <w:right w:w="0" w:type="dxa"/>
            </w:tcMar>
          </w:tcPr>
          <w:p w:rsidR="006E4B97" w:rsidRDefault="008A0702">
            <w:r>
              <w:rPr>
                <w:b/>
                <w:bCs/>
                <w:color w:val="1F1F1F"/>
                <w:sz w:val="22"/>
                <w:szCs w:val="22"/>
              </w:rPr>
              <w:t>Articole publicate – 2024</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Gadour E, </w:t>
            </w:r>
            <w:r>
              <w:rPr>
                <w:b/>
                <w:bCs/>
                <w:sz w:val="18"/>
                <w:szCs w:val="18"/>
              </w:rPr>
              <w:t>Miutescu B,</w:t>
            </w:r>
            <w:r>
              <w:rPr>
                <w:sz w:val="18"/>
                <w:szCs w:val="18"/>
              </w:rPr>
              <w:t xml:space="preserve"> Okasha HH. Insights and perspectives: EUS in post-liver transplantation care. Endoscopic Ultrasound. 2024;13(5):283-286.</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Gadour E, Hassan Z, Hashim A, </w:t>
            </w:r>
            <w:r>
              <w:rPr>
                <w:b/>
                <w:bCs/>
                <w:sz w:val="18"/>
                <w:szCs w:val="18"/>
              </w:rPr>
              <w:t>Miutescu B,</w:t>
            </w:r>
            <w:r>
              <w:rPr>
                <w:sz w:val="18"/>
                <w:szCs w:val="18"/>
              </w:rPr>
              <w:t xml:space="preserve"> et al. Effectiveness of artificial intelligence in improving colonoscopy quality. Egypt J Intern Med. 2024;36:103.</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Hollenbach M, Heise C, Abou-Ali E, ..., </w:t>
            </w:r>
            <w:r>
              <w:rPr>
                <w:b/>
                <w:bCs/>
                <w:sz w:val="18"/>
                <w:szCs w:val="18"/>
              </w:rPr>
              <w:t>Miutescu BP,</w:t>
            </w:r>
            <w:r>
              <w:rPr>
                <w:sz w:val="18"/>
                <w:szCs w:val="18"/>
              </w:rPr>
              <w:t xml:space="preserve"> Tantau M, ..., ESAP study group. Endoscopic papillectomy versus surgical ampullectomy for adenomas and early cancers of the papilla. Gut. 2024 Dec 12:gutjnl-2022-327996.</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Gadour E, Al Ghamdi S, </w:t>
            </w:r>
            <w:r>
              <w:rPr>
                <w:b/>
                <w:bCs/>
                <w:sz w:val="18"/>
                <w:szCs w:val="18"/>
              </w:rPr>
              <w:t>Miutescu B,</w:t>
            </w:r>
            <w:r>
              <w:rPr>
                <w:sz w:val="18"/>
                <w:szCs w:val="18"/>
              </w:rPr>
              <w:t xml:space="preserve"> et al. Linear endoscopic ultrasound: Current uses and future perspectives in mediastinal examination. World J Gastroenterol. 2024;30(33):3803-3809.</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Vuletici D, </w:t>
            </w:r>
            <w:r>
              <w:rPr>
                <w:b/>
                <w:bCs/>
                <w:sz w:val="18"/>
                <w:szCs w:val="18"/>
              </w:rPr>
              <w:t>Miutescu B,</w:t>
            </w:r>
            <w:r>
              <w:rPr>
                <w:sz w:val="18"/>
                <w:szCs w:val="18"/>
              </w:rPr>
              <w:t xml:space="preserve"> Burciu C, Ratiu I, et al. Outcomes in COVID-19 Patients with Acute Cholangitis: A Single-Center Retrospective Analysis. Medicina (Kaunas). 2024;60(8):1354.</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Koppandi O, Iovanescu D, </w:t>
            </w:r>
            <w:r>
              <w:rPr>
                <w:b/>
                <w:bCs/>
                <w:sz w:val="18"/>
                <w:szCs w:val="18"/>
              </w:rPr>
              <w:t>Miutescu B,</w:t>
            </w:r>
            <w:r>
              <w:rPr>
                <w:sz w:val="18"/>
                <w:szCs w:val="18"/>
              </w:rPr>
              <w:t xml:space="preserve"> et al. Prospective Assessment of Serum Lipid Alterations in Chronic Hepatitis C Patients Treated with Direct Acting Antivirals. Medicina (Kaunas). 2024;60(8):1295.</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Serena P, Popa A, Bende R, </w:t>
            </w:r>
            <w:r>
              <w:rPr>
                <w:b/>
                <w:bCs/>
                <w:sz w:val="18"/>
                <w:szCs w:val="18"/>
              </w:rPr>
              <w:t>Miutescu B,</w:t>
            </w:r>
            <w:r>
              <w:rPr>
                <w:sz w:val="18"/>
                <w:szCs w:val="18"/>
              </w:rPr>
              <w:t xml:space="preserve"> et al. Prevalence of Helicobacter pylori Infection and Efficacy of Eradication Therapies: A Retrospective Analysis. Life (Basel). 2024;14(7):885.</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t>Miutescu B,</w:t>
            </w:r>
            <w:r>
              <w:rPr>
                <w:sz w:val="18"/>
                <w:szCs w:val="18"/>
              </w:rPr>
              <w:t xml:space="preserve"> Dhir V. Training and quality indicators in interventional endoscopic ultrasound. Dig Endosc. 2024 Jul 17.</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Okasha HH, Gadour E, Atalla H, ..., </w:t>
            </w:r>
            <w:r>
              <w:rPr>
                <w:b/>
                <w:bCs/>
                <w:sz w:val="18"/>
                <w:szCs w:val="18"/>
              </w:rPr>
              <w:t>Miutescu B,</w:t>
            </w:r>
            <w:r>
              <w:rPr>
                <w:sz w:val="18"/>
                <w:szCs w:val="18"/>
              </w:rPr>
              <w:t xml:space="preserve"> et al. Practical approach to linear endoscopic ultrasound examination of the gallbladder. World J Radiol. 2024;16(6):184-195.</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Gadour E, Kaballo MA, Shrwani K, Hassan Z, </w:t>
            </w:r>
            <w:r>
              <w:rPr>
                <w:b/>
                <w:bCs/>
                <w:sz w:val="18"/>
                <w:szCs w:val="18"/>
              </w:rPr>
              <w:t>Miutescu B,</w:t>
            </w:r>
            <w:r>
              <w:rPr>
                <w:sz w:val="18"/>
                <w:szCs w:val="18"/>
              </w:rPr>
              <w:t xml:space="preserve"> et al. Safety and efficacy of SPAD, Prometheus, and MARS liver haemodialysis vs SMT: meta-analysis. Prz Gastroenterol. 2024;19(2):101-111.</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Burciu C, Sirli R, Bende R, Vuletici D, </w:t>
            </w:r>
            <w:r>
              <w:rPr>
                <w:b/>
                <w:bCs/>
                <w:sz w:val="18"/>
                <w:szCs w:val="18"/>
              </w:rPr>
              <w:t>Miutescu B,</w:t>
            </w:r>
            <w:r>
              <w:rPr>
                <w:sz w:val="18"/>
                <w:szCs w:val="18"/>
              </w:rPr>
              <w:t xml:space="preserve"> et al. Paraneoplastic Syndromes in Hepatocellular Carcinoma, Epidemiology, and Survival. Medicina (Kaunas). 2024;60(4):552.</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Groza AL, </w:t>
            </w:r>
            <w:r>
              <w:rPr>
                <w:b/>
                <w:bCs/>
                <w:sz w:val="18"/>
                <w:szCs w:val="18"/>
              </w:rPr>
              <w:t>Miutescu B,</w:t>
            </w:r>
            <w:r>
              <w:rPr>
                <w:sz w:val="18"/>
                <w:szCs w:val="18"/>
              </w:rPr>
              <w:t xml:space="preserve"> Tefas C, Popa A, et al. Evaluating the Efficacy of Resect-and-Discard and Resect-and-Retrieve Strategies for Diminutive Colonic Polyps. Life (Basel). 2024;14(4):532.</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Gadour E, Awad A, Hassan Z, Shrwani KJ, </w:t>
            </w:r>
            <w:r>
              <w:rPr>
                <w:b/>
                <w:bCs/>
                <w:sz w:val="18"/>
                <w:szCs w:val="18"/>
              </w:rPr>
              <w:t>Miutescu B,</w:t>
            </w:r>
            <w:r>
              <w:rPr>
                <w:sz w:val="18"/>
                <w:szCs w:val="18"/>
              </w:rPr>
              <w:t xml:space="preserve"> Okasha HH. Diagnostic and therapeutic role of endoscopic ultrasound in liver diseases: A systematic review and meta-analysis. World J Gastroenterol. 2024;30(7):742-758.</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t>Miutescu B,</w:t>
            </w:r>
            <w:r>
              <w:rPr>
                <w:sz w:val="18"/>
                <w:szCs w:val="18"/>
              </w:rPr>
              <w:t xml:space="preserve"> Vuletici D, Burciu C, Bende F, et al. Comparative Analysis of Microbial Species and Multidrug Resistance Patterns in Acute Cholangitis Patients with Cholecystectomy. Diseases. 2024;12(1):19.</w:t>
            </w:r>
          </w:p>
        </w:tc>
      </w:tr>
      <w:tr w:rsidR="006E4B97">
        <w:tc>
          <w:tcPr>
            <w:tcW w:w="10106" w:type="dxa"/>
            <w:tcBorders>
              <w:top w:val="none" w:sz="0" w:space="0" w:color="FFFFFF"/>
              <w:left w:val="none" w:sz="0" w:space="0" w:color="FFFFFF"/>
              <w:bottom w:val="none" w:sz="0" w:space="0" w:color="FFFFFF"/>
              <w:right w:val="none" w:sz="0" w:space="0" w:color="FFFFFF"/>
            </w:tcBorders>
            <w:tcMar>
              <w:top w:w="120" w:type="dxa"/>
              <w:left w:w="0" w:type="dxa"/>
              <w:bottom w:w="40" w:type="dxa"/>
              <w:right w:w="0" w:type="dxa"/>
            </w:tcMar>
          </w:tcPr>
          <w:p w:rsidR="006E4B97" w:rsidRDefault="008A0702">
            <w:r>
              <w:rPr>
                <w:b/>
                <w:bCs/>
                <w:color w:val="1F1F1F"/>
                <w:sz w:val="22"/>
                <w:szCs w:val="22"/>
              </w:rPr>
              <w:t>Articole publicate – 2023</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t>Miutescu B,</w:t>
            </w:r>
            <w:r>
              <w:rPr>
                <w:sz w:val="18"/>
                <w:szCs w:val="18"/>
              </w:rPr>
              <w:t xml:space="preserve"> Vuletici D, Burciu C, Bende F, Ratiu I, Moga T, Gadour E, Bratosin F, Sandru V, et al. Comparative Analysis of Antibiotic Resistance in Acute Cholangitis Patients with Stent Placement and Sphincterotomy. Life. 2023;13(11):2205.</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t>Miutescu B,</w:t>
            </w:r>
            <w:r>
              <w:rPr>
                <w:sz w:val="18"/>
                <w:szCs w:val="18"/>
              </w:rPr>
              <w:t xml:space="preserve"> Dhir V. Impact and assessment of training models in interventional endoscopic ultrasound. Dig Endosc. 2023 Aug 27. PMID: 37634116.</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Vu Trung K, Abou-Ali E, Caillol F, Paik WH, Napoleon B, ..., ESAP Study Group. Endoscopic papillectomy for ampullary lesions in patients with familial adenomatous polyposis compared with sporadic lesions. Endoscopy. 2023;55(8):709-718. PMID: 36746390.</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Dancu G, Tarta C, Socaciu C, Bende F, Danila M, Sirli R, Sporea I, </w:t>
            </w:r>
            <w:r>
              <w:rPr>
                <w:b/>
                <w:bCs/>
                <w:sz w:val="18"/>
                <w:szCs w:val="18"/>
              </w:rPr>
              <w:t>Miutescu B,</w:t>
            </w:r>
            <w:r>
              <w:rPr>
                <w:sz w:val="18"/>
                <w:szCs w:val="18"/>
              </w:rPr>
              <w:t xml:space="preserve"> Popescu A. Unraveling the Metabolic Changes in Acute Pancreatitis: A Metabolomics-Based Approach. Biomolecules. 2023;13(10):1558. PMID: 37892240.</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lastRenderedPageBreak/>
              <w:t>Miutescu B,</w:t>
            </w:r>
            <w:r>
              <w:rPr>
                <w:sz w:val="18"/>
                <w:szCs w:val="18"/>
              </w:rPr>
              <w:t xml:space="preserve"> Vuletici D, Burciu C, Turcu-Stiolica A, Bende F, et al. Identification of Microbial Species and Antimicrobial Resistance Patterns in Acute Cholangitis. Medicina (Kaunas). 2023;59(4):721. PMID: 37109679.</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Varga NI, Mateescu DM, ..., </w:t>
            </w:r>
            <w:r>
              <w:rPr>
                <w:b/>
                <w:bCs/>
                <w:sz w:val="18"/>
                <w:szCs w:val="18"/>
              </w:rPr>
              <w:t>Miutescu B.</w:t>
            </w:r>
            <w:r>
              <w:rPr>
                <w:sz w:val="18"/>
                <w:szCs w:val="18"/>
              </w:rPr>
              <w:t xml:space="preserve"> Diagnosis and Management of a Triple Infection with Leptospira spp., Hepatitis A Virus, and Epstein-Barr Virus. Healthcare (Basel). 2023;11(4):597.</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Mateescu T, </w:t>
            </w:r>
            <w:r>
              <w:rPr>
                <w:b/>
                <w:bCs/>
                <w:sz w:val="18"/>
                <w:szCs w:val="18"/>
              </w:rPr>
              <w:t>Miutescu B,</w:t>
            </w:r>
            <w:r>
              <w:rPr>
                <w:sz w:val="18"/>
                <w:szCs w:val="18"/>
              </w:rPr>
              <w:t xml:space="preserve"> Nicola A, et al. Health-Related Quality of Life in Patients with Complicated Diverticular Disease under Conservative Management. Healthcare (Basel). 2023;11(10):1383.</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Burciu C, Sirli R, Bende R, Popa A, Vuletici D, </w:t>
            </w:r>
            <w:r>
              <w:rPr>
                <w:b/>
                <w:bCs/>
                <w:sz w:val="18"/>
                <w:szCs w:val="18"/>
              </w:rPr>
              <w:t>Miutescu B,</w:t>
            </w:r>
            <w:r>
              <w:rPr>
                <w:sz w:val="18"/>
                <w:szCs w:val="18"/>
              </w:rPr>
              <w:t xml:space="preserve"> et al. A Statistical Approach to the Diagnosis and Prediction of HCC Using CK19 and Glypican 3 Biomarkers. Diagnostics (Basel). 2023;13(7):1253.</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Moga TV, Foncea C, Bende R, Popescu A, ..., </w:t>
            </w:r>
            <w:r>
              <w:rPr>
                <w:b/>
                <w:bCs/>
                <w:sz w:val="18"/>
                <w:szCs w:val="18"/>
              </w:rPr>
              <w:t>Miutescu B,</w:t>
            </w:r>
            <w:r>
              <w:rPr>
                <w:sz w:val="18"/>
                <w:szCs w:val="18"/>
              </w:rPr>
              <w:t xml:space="preserve"> et al. Impact of COVID-19 on Patients with Decompensated Liver Cirrhosis. Diagnostics (Basel). 2023;13(4):600.</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Groza AL, Ungureanu BS, Tefas C, </w:t>
            </w:r>
            <w:r>
              <w:rPr>
                <w:b/>
                <w:bCs/>
                <w:sz w:val="18"/>
                <w:szCs w:val="18"/>
              </w:rPr>
              <w:t>Miutescu B,</w:t>
            </w:r>
            <w:r>
              <w:rPr>
                <w:sz w:val="18"/>
                <w:szCs w:val="18"/>
              </w:rPr>
              <w:t xml:space="preserve"> Tantau M. Correlation between adenoma detection rate and other quality indicators. Front Pharmacol. 2022;13:1041915.</w:t>
            </w:r>
          </w:p>
        </w:tc>
      </w:tr>
      <w:tr w:rsidR="006E4B97">
        <w:tc>
          <w:tcPr>
            <w:tcW w:w="10106" w:type="dxa"/>
            <w:tcBorders>
              <w:top w:val="none" w:sz="0" w:space="0" w:color="FFFFFF"/>
              <w:left w:val="none" w:sz="0" w:space="0" w:color="FFFFFF"/>
              <w:bottom w:val="none" w:sz="0" w:space="0" w:color="FFFFFF"/>
              <w:right w:val="none" w:sz="0" w:space="0" w:color="FFFFFF"/>
            </w:tcBorders>
            <w:tcMar>
              <w:top w:w="120" w:type="dxa"/>
              <w:left w:w="0" w:type="dxa"/>
              <w:bottom w:w="40" w:type="dxa"/>
              <w:right w:w="0" w:type="dxa"/>
            </w:tcMar>
          </w:tcPr>
          <w:p w:rsidR="006E4B97" w:rsidRDefault="008A0702">
            <w:r>
              <w:rPr>
                <w:b/>
                <w:bCs/>
                <w:color w:val="1F1F1F"/>
                <w:sz w:val="22"/>
                <w:szCs w:val="22"/>
              </w:rPr>
              <w:t>Articole publicate – 2022 și anterioare</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Ratiu I, Lupusoru R, Popescu A, Sporea I, Goldis A, Danila M, </w:t>
            </w:r>
            <w:r>
              <w:rPr>
                <w:b/>
                <w:bCs/>
                <w:sz w:val="18"/>
                <w:szCs w:val="18"/>
              </w:rPr>
              <w:t>Miutescu B,</w:t>
            </w:r>
            <w:r>
              <w:rPr>
                <w:sz w:val="18"/>
                <w:szCs w:val="18"/>
              </w:rPr>
              <w:t xml:space="preserve"> et al. Acute gastrointestinal bleeding: comparison between variceal and nonvariceal GI bleeding. Medicine (Baltimore). 2022;101(45):e31543.</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Burciu C, Sirli R, Bende F, Fofiu R, Popescu A, Sporea I, Ghiuchici AM, </w:t>
            </w:r>
            <w:r>
              <w:rPr>
                <w:b/>
                <w:bCs/>
                <w:sz w:val="18"/>
                <w:szCs w:val="18"/>
              </w:rPr>
              <w:t>Miutescu B,</w:t>
            </w:r>
            <w:r>
              <w:rPr>
                <w:sz w:val="18"/>
                <w:szCs w:val="18"/>
              </w:rPr>
              <w:t xml:space="preserve"> Danila M. Usefulness of Imaging and Biological Tools for Portal Vein Thrombosis in Hepatocellular Carcinoma. Diagnostics (Basel). 2022;12(5):1145.</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Maralescu FM, Bende F, Sporea I, Popescu A, Sirli R, Schiller A, Petrica L, </w:t>
            </w:r>
            <w:r>
              <w:rPr>
                <w:b/>
                <w:bCs/>
                <w:sz w:val="18"/>
                <w:szCs w:val="18"/>
              </w:rPr>
              <w:t>Miutescu B,</w:t>
            </w:r>
            <w:r>
              <w:rPr>
                <w:sz w:val="18"/>
                <w:szCs w:val="18"/>
              </w:rPr>
              <w:t xml:space="preserve"> et al. Non-Invasive Evaluation of Kidney Elasticity and Viscosity in a Healthy Cohort. Biomedicines. 2022;10(11):2859.</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Gadalean F, Parv F, Milas O, Petrica L, Ratiu I, </w:t>
            </w:r>
            <w:r>
              <w:rPr>
                <w:b/>
                <w:bCs/>
                <w:sz w:val="18"/>
                <w:szCs w:val="18"/>
              </w:rPr>
              <w:t>Miutescu B,</w:t>
            </w:r>
            <w:r>
              <w:rPr>
                <w:sz w:val="18"/>
                <w:szCs w:val="18"/>
              </w:rPr>
              <w:t xml:space="preserve"> Goldis A, et al. Acute Kidney Injury after ERCP – A Hospital-Based Prospective Observational Study. Biomedicines. 2022;10(12):3166.</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Ratiu I, Lupusoru R, Lungeanu D, Popescu A, Sporea I, Goldis A, Danila M, </w:t>
            </w:r>
            <w:r>
              <w:rPr>
                <w:b/>
                <w:bCs/>
                <w:sz w:val="18"/>
                <w:szCs w:val="18"/>
              </w:rPr>
              <w:t>Miutescu B,</w:t>
            </w:r>
            <w:r>
              <w:rPr>
                <w:sz w:val="18"/>
                <w:szCs w:val="18"/>
              </w:rPr>
              <w:t xml:space="preserve"> et al. Diagnosis of malignant biliary obstruction: ERCP, MRCP and histology. J Int Med Res. 2022;50(2).</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Ratiu I, Lupusoru R, Vora P, Popescu A, Sporea I, Goldis A, Danila M, </w:t>
            </w:r>
            <w:r>
              <w:rPr>
                <w:b/>
                <w:bCs/>
                <w:sz w:val="18"/>
                <w:szCs w:val="18"/>
              </w:rPr>
              <w:t>Miutescu B,</w:t>
            </w:r>
            <w:r>
              <w:rPr>
                <w:sz w:val="18"/>
                <w:szCs w:val="18"/>
              </w:rPr>
              <w:t xml:space="preserve"> et al. Opportunistic Colonoscopy Cancer Screening Pays off in Romania. Diagnostics (Basel). 2021;11(12):2393.</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Barbulescu A, Ratiu I, Sporea I, Lungeanu D, Lupusoru R, </w:t>
            </w:r>
            <w:r>
              <w:rPr>
                <w:b/>
                <w:bCs/>
                <w:sz w:val="18"/>
                <w:szCs w:val="18"/>
              </w:rPr>
              <w:t>Miutescu B,</w:t>
            </w:r>
            <w:r>
              <w:rPr>
                <w:sz w:val="18"/>
                <w:szCs w:val="18"/>
              </w:rPr>
              <w:t xml:space="preserve"> et al. Extending and validating the Baveno VI criteria for the exclusion of high-risk varices. Med Ultrason. 2021;23(3):265-270.</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Fofiu R, Bende F, Popescu F, Sirli R, </w:t>
            </w:r>
            <w:r>
              <w:rPr>
                <w:b/>
                <w:bCs/>
                <w:sz w:val="18"/>
                <w:szCs w:val="18"/>
              </w:rPr>
              <w:t>Miutescu B,</w:t>
            </w:r>
            <w:r>
              <w:rPr>
                <w:sz w:val="18"/>
                <w:szCs w:val="18"/>
              </w:rPr>
              <w:t xml:space="preserve"> Sporea I. Assessing Baveno VI Criteria Using Liver Stiffness Measured with 2D-Shear Wave Elastography. Diagnostics (Basel). 2021;11(5):737.</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t>Miutescu BP,</w:t>
            </w:r>
            <w:r>
              <w:rPr>
                <w:sz w:val="18"/>
                <w:szCs w:val="18"/>
              </w:rPr>
              <w:t xml:space="preserve"> Khan S, Mony S, Khashab MA. Role of Peroral Endoscopic Myotomy (POEM) in the Management of Esophageal Diverticula. Clin Endosc. 2020;53(6):646-651.</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t>Miutescu B,</w:t>
            </w:r>
            <w:r>
              <w:rPr>
                <w:sz w:val="18"/>
                <w:szCs w:val="18"/>
              </w:rPr>
              <w:t xml:space="preserve"> Tantau M, Khashab M. Advances in POEM for Achalasia: Optimal Technique, Post-POEM GERD. Curr Treat Options Gastro. 2020. doi:10.1007/s11938-020-00291-1.</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Bende F, Sporea I, Sirli R, Popescu A, Mare R, </w:t>
            </w:r>
            <w:r>
              <w:rPr>
                <w:b/>
                <w:bCs/>
                <w:sz w:val="18"/>
                <w:szCs w:val="18"/>
              </w:rPr>
              <w:t>Miutescu B,</w:t>
            </w:r>
            <w:r>
              <w:rPr>
                <w:sz w:val="18"/>
                <w:szCs w:val="18"/>
              </w:rPr>
              <w:t xml:space="preserve"> Lupusoru R. Performance of 2D-SWE GE for predicting different stages of liver fibrosis. Medical Ultrasonography. 2017;19(2):143-149.</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Iovanescu D, Frandes M, Lungeanu D, Burlea A, </w:t>
            </w:r>
            <w:r>
              <w:rPr>
                <w:b/>
                <w:bCs/>
                <w:sz w:val="18"/>
                <w:szCs w:val="18"/>
              </w:rPr>
              <w:t>Miutescu BP,</w:t>
            </w:r>
            <w:r>
              <w:rPr>
                <w:sz w:val="18"/>
                <w:szCs w:val="18"/>
              </w:rPr>
              <w:t xml:space="preserve"> Miutescu E. Diagnosis reliability of combined flexible sigmoidoscopy and FIT in colorectal neoplasia screening. OncoTargets Ther. 2016;9:6819.</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Sporea I, Popescu A, Diculescu M, Stoica V, Constantinescu G, </w:t>
            </w:r>
            <w:r>
              <w:rPr>
                <w:b/>
                <w:bCs/>
                <w:sz w:val="18"/>
                <w:szCs w:val="18"/>
              </w:rPr>
              <w:t>Miutescu B.</w:t>
            </w:r>
            <w:r>
              <w:rPr>
                <w:sz w:val="18"/>
                <w:szCs w:val="18"/>
              </w:rPr>
              <w:t xml:space="preserve"> Technical Performance of Colonoscopy – Multicenter Study in Romania. Chirurgia (Bucur). 2013;108(1):86-90.</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t>Miutescu B,</w:t>
            </w:r>
            <w:r>
              <w:rPr>
                <w:sz w:val="18"/>
                <w:szCs w:val="18"/>
              </w:rPr>
              <w:t xml:space="preserve"> Sporea I, Popescu A, Bota S, Iovanescu D, Miutescu E. Adherence to colorectal cancer screening using the faecal immunochemical test. Studia Univ Vasile Goldis. 2013;23(2):117.</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t>Miutescu B,</w:t>
            </w:r>
            <w:r>
              <w:rPr>
                <w:sz w:val="18"/>
                <w:szCs w:val="18"/>
              </w:rPr>
              <w:t xml:space="preserve"> Sporea I, Popescu A, Bota S, Iovanescu D. Results of faecal immunochemical test for colorectal cancer screening in a cohort of 1389 subjects. Clujul Medical. 2013;86(2):102.</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Miutescu E, Iovanescu D, Baneth V, Vorindan M, </w:t>
            </w:r>
            <w:r>
              <w:rPr>
                <w:b/>
                <w:bCs/>
                <w:sz w:val="18"/>
                <w:szCs w:val="18"/>
              </w:rPr>
              <w:t>Miutescu B,</w:t>
            </w:r>
            <w:r>
              <w:rPr>
                <w:sz w:val="18"/>
                <w:szCs w:val="18"/>
              </w:rPr>
              <w:t xml:space="preserve"> Toth C. Premalignant colon lesions – adenomatous polyps. Cercetari experimentale medico-chirurgicale. 2006;1:20-24.</w:t>
            </w:r>
          </w:p>
        </w:tc>
      </w:tr>
      <w:tr w:rsidR="006E4B97">
        <w:tc>
          <w:tcPr>
            <w:tcW w:w="10106" w:type="dxa"/>
            <w:tcBorders>
              <w:top w:val="none" w:sz="0" w:space="0" w:color="FFFFFF"/>
              <w:left w:val="none" w:sz="0" w:space="0" w:color="FFFFFF"/>
              <w:bottom w:val="none" w:sz="0" w:space="0" w:color="FFFFFF"/>
              <w:right w:val="none" w:sz="0" w:space="0" w:color="FFFFFF"/>
            </w:tcBorders>
            <w:tcMar>
              <w:top w:w="120" w:type="dxa"/>
              <w:left w:w="0" w:type="dxa"/>
              <w:bottom w:w="40" w:type="dxa"/>
              <w:right w:w="0" w:type="dxa"/>
            </w:tcMar>
          </w:tcPr>
          <w:p w:rsidR="006E4B97" w:rsidRDefault="008A0702">
            <w:r>
              <w:rPr>
                <w:b/>
                <w:bCs/>
                <w:color w:val="1F1F1F"/>
                <w:sz w:val="22"/>
                <w:szCs w:val="22"/>
              </w:rPr>
              <w:t>Prezentări orale – Rezumate publicate</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Burciu C, Sporea I, Ratiu I, </w:t>
            </w:r>
            <w:r>
              <w:rPr>
                <w:b/>
                <w:bCs/>
                <w:sz w:val="18"/>
                <w:szCs w:val="18"/>
              </w:rPr>
              <w:t>Miutescu B.</w:t>
            </w:r>
            <w:r>
              <w:rPr>
                <w:sz w:val="18"/>
                <w:szCs w:val="18"/>
              </w:rPr>
              <w:t xml:space="preserve"> OP115 Usefulness of ERCP bile aspirated culture in patients with acute cholangitis. Endoscopy 2021;53:S48.</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Burciu C, Sporea I, Ratiu I, </w:t>
            </w:r>
            <w:r>
              <w:rPr>
                <w:b/>
                <w:bCs/>
                <w:sz w:val="18"/>
                <w:szCs w:val="18"/>
              </w:rPr>
              <w:t>Miutescu B.</w:t>
            </w:r>
            <w:r>
              <w:rPr>
                <w:sz w:val="18"/>
                <w:szCs w:val="18"/>
              </w:rPr>
              <w:t xml:space="preserve"> OP116 Timing of admission and endoscopic drainage in patients with acute cholangitis: weekday versus weekend. Endoscopy 2021;53:S49.</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TV Moga, A Popescu, R Lupusoru, CA Voron, D Trip, F Bende, A Pascu, </w:t>
            </w:r>
            <w:r>
              <w:rPr>
                <w:b/>
                <w:bCs/>
                <w:sz w:val="18"/>
                <w:szCs w:val="18"/>
              </w:rPr>
              <w:t>B Miutescu,</w:t>
            </w:r>
            <w:r>
              <w:rPr>
                <w:sz w:val="18"/>
                <w:szCs w:val="18"/>
              </w:rPr>
              <w:t xml:space="preserve"> et al. Tu1602 Effectiveness and complications of ultrasound-guided percutaneous interventions in liver abscess management. Gastroenterology 2024;166(5):S-1357–S-1358.</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E Gadour, MA Kaballo, KJ Shrwani, </w:t>
            </w:r>
            <w:r>
              <w:rPr>
                <w:b/>
                <w:bCs/>
                <w:sz w:val="18"/>
                <w:szCs w:val="18"/>
              </w:rPr>
              <w:t>B Miutescu,</w:t>
            </w:r>
            <w:r>
              <w:rPr>
                <w:sz w:val="18"/>
                <w:szCs w:val="18"/>
              </w:rPr>
              <w:t xml:space="preserve"> et al. Su1500 Meta-analysis and systematic review of SPAD, Prometheus, and MARS. Gastroenterology 2024;166(5):S-1617–S-1618.</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t>B Miutescu,</w:t>
            </w:r>
            <w:r>
              <w:rPr>
                <w:sz w:val="18"/>
                <w:szCs w:val="18"/>
              </w:rPr>
              <w:t xml:space="preserve"> I Ratiu, A Popescu, R Sirli, M Danila, E Hajdarmataj, F Bende. Optimal timing of ERCP in elderly patients with acute cholangitis. Endoscopy 2019;51(04):eP119.</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lastRenderedPageBreak/>
              <w:t>B Miutescu,</w:t>
            </w:r>
            <w:r>
              <w:rPr>
                <w:sz w:val="18"/>
                <w:szCs w:val="18"/>
              </w:rPr>
              <w:t xml:space="preserve"> V Mercea, A Groza, I Ratiu, A Tantau, M Tantau. Endoscopic resection of advanced ampullary adenomas. Endoscopy 2019;51(04):eP120.</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t>B Miutescu,</w:t>
            </w:r>
            <w:r>
              <w:rPr>
                <w:sz w:val="18"/>
                <w:szCs w:val="18"/>
              </w:rPr>
              <w:t xml:space="preserve"> I Ratiu, M Strain, A Goldis, E Hajdarmataj, A Popescu, R Sirli. Clinical impact of ERCP timing in acute cholangitis. Endoscopy 2018;50(04):eP233.</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T Moga, </w:t>
            </w:r>
            <w:r>
              <w:rPr>
                <w:b/>
                <w:bCs/>
                <w:sz w:val="18"/>
                <w:szCs w:val="18"/>
              </w:rPr>
              <w:t>B Miutescu,</w:t>
            </w:r>
            <w:r>
              <w:rPr>
                <w:sz w:val="18"/>
                <w:szCs w:val="18"/>
              </w:rPr>
              <w:t xml:space="preserve"> AM Ghiuchici, C Foncea, R Tripcea, A Popescu. Post-ERCP pancreatitis is not influenced by time to ERCP in non-ERCP emergencies. Endoscopy 2019;53(S01):eP343.</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t>BP Miutescu,</w:t>
            </w:r>
            <w:r>
              <w:rPr>
                <w:sz w:val="18"/>
                <w:szCs w:val="18"/>
              </w:rPr>
              <w:t xml:space="preserve"> I Sporea, A Popescu, E Miutescu. Faecal immunochemical test for colorectal cancer screening. Gut 2011;60(Suppl.3):A197. 19th UEGW Stockholm 2011.</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t>B Miutescu,</w:t>
            </w:r>
            <w:r>
              <w:rPr>
                <w:sz w:val="18"/>
                <w:szCs w:val="18"/>
              </w:rPr>
              <w:t xml:space="preserve"> I Sporea, A Popescu, D Tabacu, O Ilie, E Miutescu. The resect and discard strategy for diminutive polyps (1-5mm) in clinical practice. JGLD June 2016;25(Suppl.2):168.</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 xml:space="preserve">I Sporea, </w:t>
            </w:r>
            <w:r>
              <w:rPr>
                <w:b/>
                <w:bCs/>
                <w:sz w:val="18"/>
                <w:szCs w:val="18"/>
              </w:rPr>
              <w:t>B Miutescu,</w:t>
            </w:r>
            <w:r>
              <w:rPr>
                <w:sz w:val="18"/>
                <w:szCs w:val="18"/>
              </w:rPr>
              <w:t xml:space="preserve"> A Popescu, et al. Results of opportunistic colorectal cancer screening using colonoscopy. JGLD June 2016;25(Suppl.2):176.</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b/>
                <w:bCs/>
                <w:sz w:val="18"/>
                <w:szCs w:val="18"/>
              </w:rPr>
              <w:t>B Miutescu,</w:t>
            </w:r>
            <w:r>
              <w:rPr>
                <w:sz w:val="18"/>
                <w:szCs w:val="18"/>
              </w:rPr>
              <w:t xml:space="preserve"> A Groza, C Tefas, G Mester, C Buzas, M Tantau. Endoscopic double stenting in patients with biliary and gastroduodenal malignant obstruction. Al XXXV-lea Congres National de Gastroenterologie – Iasi, 2015.</w:t>
            </w:r>
          </w:p>
        </w:tc>
      </w:tr>
      <w:tr w:rsidR="006E4B97">
        <w:tc>
          <w:tcPr>
            <w:tcW w:w="10106" w:type="dxa"/>
            <w:tcBorders>
              <w:top w:val="none" w:sz="0" w:space="0" w:color="FFFFFF"/>
              <w:left w:val="none" w:sz="0" w:space="0" w:color="FFFFFF"/>
              <w:bottom w:val="none" w:sz="0" w:space="0" w:color="FFFFFF"/>
              <w:right w:val="none" w:sz="0" w:space="0" w:color="FFFFFF"/>
            </w:tcBorders>
            <w:tcMar>
              <w:top w:w="120" w:type="dxa"/>
              <w:left w:w="0" w:type="dxa"/>
              <w:bottom w:w="40" w:type="dxa"/>
              <w:right w:w="0" w:type="dxa"/>
            </w:tcMar>
          </w:tcPr>
          <w:p w:rsidR="006E4B97" w:rsidRDefault="008A0702">
            <w:r>
              <w:rPr>
                <w:b/>
                <w:bCs/>
                <w:color w:val="1F1F1F"/>
                <w:sz w:val="22"/>
                <w:szCs w:val="22"/>
              </w:rPr>
              <w:t>Granturi de cercetare</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Autoritatea Națională pentru Cercetare Științifică – Programul CEEX 2005, Modulul 1. Bazele moleculare ale cancerului colorectal: de la prevenție la tratament (BM-COL). Membru echipă de cercetare (2005–2008). Director: Prof. Univ. Dr. T. Ciurea.</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Proiect PN-II-PT-PCCA-2011-3.2-1682, Contract 22/2012 – CNDI-UEFISCDI. Sisteme pentru Tomografia Optică de Coerență (OCT) cu dispozitive endoscopice pentru investigații in vivo în domeniul biomedical. Membru echipă de cercetare. Director: Duma Virgil, UAV. Responsabil partener: Miutescu Eftimie, SCJU Arad.</w:t>
            </w:r>
          </w:p>
        </w:tc>
      </w:tr>
      <w:tr w:rsidR="006E4B97">
        <w:tc>
          <w:tcPr>
            <w:tcW w:w="10106" w:type="dxa"/>
            <w:tcBorders>
              <w:top w:val="none" w:sz="0" w:space="0" w:color="FFFFFF"/>
              <w:left w:val="none" w:sz="0" w:space="0" w:color="FFFFFF"/>
              <w:bottom w:val="none" w:sz="0" w:space="0" w:color="FFFFFF"/>
              <w:right w:val="none" w:sz="0" w:space="0" w:color="FFFFFF"/>
            </w:tcBorders>
            <w:tcMar>
              <w:top w:w="120" w:type="dxa"/>
              <w:left w:w="0" w:type="dxa"/>
              <w:bottom w:w="40" w:type="dxa"/>
              <w:right w:w="0" w:type="dxa"/>
            </w:tcMar>
          </w:tcPr>
          <w:p w:rsidR="006E4B97" w:rsidRDefault="008A0702">
            <w:r>
              <w:rPr>
                <w:b/>
                <w:bCs/>
                <w:color w:val="1F1F1F"/>
                <w:sz w:val="22"/>
                <w:szCs w:val="22"/>
              </w:rPr>
              <w:t>Studii clinice</w:t>
            </w:r>
          </w:p>
        </w:tc>
      </w:tr>
      <w:tr w:rsidR="006E4B97">
        <w:tc>
          <w:tcPr>
            <w:tcW w:w="10106"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6E4B97" w:rsidRDefault="008A0702">
            <w:pPr>
              <w:pStyle w:val="ListParagraph"/>
              <w:numPr>
                <w:ilvl w:val="0"/>
                <w:numId w:val="2"/>
              </w:numPr>
              <w:spacing w:before="30" w:after="30"/>
            </w:pPr>
            <w:r>
              <w:rPr>
                <w:sz w:val="18"/>
                <w:szCs w:val="18"/>
              </w:rPr>
              <w:t>Sub-investigator – A Phase 3, Multicenter, Randomized, Double-blind, Placebo-controlled Trial of Oral RPC1063 as Induction and Maintenance Therapy for Moderate to Severe Ulcerative Colitis.</w:t>
            </w:r>
          </w:p>
        </w:tc>
      </w:tr>
      <w:tr w:rsidR="006E4B97">
        <w:tc>
          <w:tcPr>
            <w:tcW w:w="10106" w:type="dxa"/>
            <w:tcBorders>
              <w:top w:val="single" w:sz="4" w:space="0" w:color="AAAAAA"/>
              <w:left w:val="none" w:sz="0" w:space="0" w:color="FFFFFF"/>
              <w:bottom w:val="none" w:sz="0" w:space="0" w:color="FFFFFF"/>
              <w:right w:val="none" w:sz="0" w:space="0" w:color="FFFFFF"/>
            </w:tcBorders>
            <w:tcMar>
              <w:top w:w="80" w:type="dxa"/>
              <w:left w:w="0" w:type="dxa"/>
              <w:bottom w:w="40" w:type="dxa"/>
              <w:right w:w="0" w:type="dxa"/>
            </w:tcMar>
          </w:tcPr>
          <w:p w:rsidR="006E4B97" w:rsidRDefault="006E4B97"/>
        </w:tc>
      </w:tr>
    </w:tbl>
    <w:p w:rsidR="008A0702" w:rsidRDefault="00A02DCE">
      <w:r>
        <w:t>05.06.2026</w:t>
      </w:r>
    </w:p>
    <w:sectPr w:rsidR="008A0702">
      <w:pgSz w:w="11906" w:h="16838"/>
      <w:pgMar w:top="900" w:right="1000" w:bottom="9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CDF" w:rsidRDefault="00F20CDF" w:rsidP="00AB3F69">
      <w:r>
        <w:separator/>
      </w:r>
    </w:p>
  </w:endnote>
  <w:endnote w:type="continuationSeparator" w:id="0">
    <w:p w:rsidR="00F20CDF" w:rsidRDefault="00F20CDF" w:rsidP="00AB3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CDF" w:rsidRDefault="00F20CDF" w:rsidP="00AB3F69">
      <w:r>
        <w:separator/>
      </w:r>
    </w:p>
  </w:footnote>
  <w:footnote w:type="continuationSeparator" w:id="0">
    <w:p w:rsidR="00F20CDF" w:rsidRDefault="00F20CDF" w:rsidP="00AB3F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613053"/>
    <w:multiLevelType w:val="hybridMultilevel"/>
    <w:tmpl w:val="1C0652DA"/>
    <w:lvl w:ilvl="0" w:tplc="EB2A38EC">
      <w:start w:val="1"/>
      <w:numFmt w:val="bullet"/>
      <w:lvlText w:val="•"/>
      <w:lvlJc w:val="left"/>
      <w:pPr>
        <w:ind w:left="400" w:hanging="240"/>
      </w:pPr>
    </w:lvl>
    <w:lvl w:ilvl="1" w:tplc="10F4DB6A">
      <w:numFmt w:val="decimal"/>
      <w:lvlText w:val=""/>
      <w:lvlJc w:val="left"/>
    </w:lvl>
    <w:lvl w:ilvl="2" w:tplc="10447AAC">
      <w:numFmt w:val="decimal"/>
      <w:lvlText w:val=""/>
      <w:lvlJc w:val="left"/>
    </w:lvl>
    <w:lvl w:ilvl="3" w:tplc="93DE34D4">
      <w:numFmt w:val="decimal"/>
      <w:lvlText w:val=""/>
      <w:lvlJc w:val="left"/>
    </w:lvl>
    <w:lvl w:ilvl="4" w:tplc="2B40C5CC">
      <w:numFmt w:val="decimal"/>
      <w:lvlText w:val=""/>
      <w:lvlJc w:val="left"/>
    </w:lvl>
    <w:lvl w:ilvl="5" w:tplc="9E5A8334">
      <w:numFmt w:val="decimal"/>
      <w:lvlText w:val=""/>
      <w:lvlJc w:val="left"/>
    </w:lvl>
    <w:lvl w:ilvl="6" w:tplc="E76E24D2">
      <w:numFmt w:val="decimal"/>
      <w:lvlText w:val=""/>
      <w:lvlJc w:val="left"/>
    </w:lvl>
    <w:lvl w:ilvl="7" w:tplc="D69A6AD8">
      <w:numFmt w:val="decimal"/>
      <w:lvlText w:val=""/>
      <w:lvlJc w:val="left"/>
    </w:lvl>
    <w:lvl w:ilvl="8" w:tplc="3C32B652">
      <w:numFmt w:val="decimal"/>
      <w:lvlText w:val=""/>
      <w:lvlJc w:val="left"/>
    </w:lvl>
  </w:abstractNum>
  <w:abstractNum w:abstractNumId="1" w15:restartNumberingAfterBreak="0">
    <w:nsid w:val="34B70E3F"/>
    <w:multiLevelType w:val="hybridMultilevel"/>
    <w:tmpl w:val="8796EEEE"/>
    <w:lvl w:ilvl="0" w:tplc="C08C3ADE">
      <w:start w:val="1"/>
      <w:numFmt w:val="bullet"/>
      <w:lvlText w:val="●"/>
      <w:lvlJc w:val="left"/>
      <w:pPr>
        <w:ind w:left="720" w:hanging="360"/>
      </w:pPr>
    </w:lvl>
    <w:lvl w:ilvl="1" w:tplc="D760021A">
      <w:start w:val="1"/>
      <w:numFmt w:val="bullet"/>
      <w:lvlText w:val="○"/>
      <w:lvlJc w:val="left"/>
      <w:pPr>
        <w:ind w:left="1440" w:hanging="360"/>
      </w:pPr>
    </w:lvl>
    <w:lvl w:ilvl="2" w:tplc="10DC03D4">
      <w:start w:val="1"/>
      <w:numFmt w:val="bullet"/>
      <w:lvlText w:val="■"/>
      <w:lvlJc w:val="left"/>
      <w:pPr>
        <w:ind w:left="2160" w:hanging="360"/>
      </w:pPr>
    </w:lvl>
    <w:lvl w:ilvl="3" w:tplc="5CFA3A3C">
      <w:start w:val="1"/>
      <w:numFmt w:val="bullet"/>
      <w:lvlText w:val="●"/>
      <w:lvlJc w:val="left"/>
      <w:pPr>
        <w:ind w:left="2880" w:hanging="360"/>
      </w:pPr>
    </w:lvl>
    <w:lvl w:ilvl="4" w:tplc="7ABE2BE4">
      <w:start w:val="1"/>
      <w:numFmt w:val="bullet"/>
      <w:lvlText w:val="○"/>
      <w:lvlJc w:val="left"/>
      <w:pPr>
        <w:ind w:left="3600" w:hanging="360"/>
      </w:pPr>
    </w:lvl>
    <w:lvl w:ilvl="5" w:tplc="0FBCE664">
      <w:start w:val="1"/>
      <w:numFmt w:val="bullet"/>
      <w:lvlText w:val="■"/>
      <w:lvlJc w:val="left"/>
      <w:pPr>
        <w:ind w:left="4320" w:hanging="360"/>
      </w:pPr>
    </w:lvl>
    <w:lvl w:ilvl="6" w:tplc="2D22FDF4">
      <w:start w:val="1"/>
      <w:numFmt w:val="bullet"/>
      <w:lvlText w:val="●"/>
      <w:lvlJc w:val="left"/>
      <w:pPr>
        <w:ind w:left="5040" w:hanging="360"/>
      </w:pPr>
    </w:lvl>
    <w:lvl w:ilvl="7" w:tplc="3958583C">
      <w:start w:val="1"/>
      <w:numFmt w:val="bullet"/>
      <w:lvlText w:val="●"/>
      <w:lvlJc w:val="left"/>
      <w:pPr>
        <w:ind w:left="5760" w:hanging="360"/>
      </w:pPr>
    </w:lvl>
    <w:lvl w:ilvl="8" w:tplc="4B1E47DC">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B97"/>
    <w:rsid w:val="00267A07"/>
    <w:rsid w:val="0027015D"/>
    <w:rsid w:val="002A5C13"/>
    <w:rsid w:val="005E2FEA"/>
    <w:rsid w:val="006E4B97"/>
    <w:rsid w:val="007C04C5"/>
    <w:rsid w:val="008A0702"/>
    <w:rsid w:val="00974AED"/>
    <w:rsid w:val="00A02DCE"/>
    <w:rsid w:val="00A54234"/>
    <w:rsid w:val="00AB3F69"/>
    <w:rsid w:val="00BF02B4"/>
    <w:rsid w:val="00C07883"/>
    <w:rsid w:val="00CF0128"/>
    <w:rsid w:val="00D61F71"/>
    <w:rsid w:val="00DA069B"/>
    <w:rsid w:val="00DD3B61"/>
    <w:rsid w:val="00F20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003FAB-AD70-47A5-AE3E-3A5C269C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B3F69"/>
    <w:pPr>
      <w:tabs>
        <w:tab w:val="center" w:pos="4680"/>
        <w:tab w:val="right" w:pos="9360"/>
      </w:tabs>
    </w:pPr>
  </w:style>
  <w:style w:type="character" w:customStyle="1" w:styleId="HeaderChar">
    <w:name w:val="Header Char"/>
    <w:basedOn w:val="DefaultParagraphFont"/>
    <w:link w:val="Header"/>
    <w:uiPriority w:val="99"/>
    <w:rsid w:val="00AB3F69"/>
  </w:style>
  <w:style w:type="paragraph" w:styleId="Footer">
    <w:name w:val="footer"/>
    <w:basedOn w:val="Normal"/>
    <w:link w:val="FooterChar"/>
    <w:uiPriority w:val="99"/>
    <w:unhideWhenUsed/>
    <w:rsid w:val="00AB3F69"/>
    <w:pPr>
      <w:tabs>
        <w:tab w:val="center" w:pos="4680"/>
        <w:tab w:val="right" w:pos="9360"/>
      </w:tabs>
    </w:pPr>
  </w:style>
  <w:style w:type="character" w:customStyle="1" w:styleId="FooterChar">
    <w:name w:val="Footer Char"/>
    <w:basedOn w:val="DefaultParagraphFont"/>
    <w:link w:val="Footer"/>
    <w:uiPriority w:val="99"/>
    <w:rsid w:val="00AB3F69"/>
  </w:style>
  <w:style w:type="paragraph" w:styleId="BalloonText">
    <w:name w:val="Balloon Text"/>
    <w:basedOn w:val="Normal"/>
    <w:link w:val="BalloonTextChar"/>
    <w:uiPriority w:val="99"/>
    <w:semiHidden/>
    <w:unhideWhenUsed/>
    <w:rsid w:val="00AB3F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F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3455</Words>
  <Characters>19700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13</cp:revision>
  <cp:lastPrinted>2026-06-07T13:20:00Z</cp:lastPrinted>
  <dcterms:created xsi:type="dcterms:W3CDTF">2026-06-04T12:00:00Z</dcterms:created>
  <dcterms:modified xsi:type="dcterms:W3CDTF">2026-06-12T10:37:00Z</dcterms:modified>
</cp:coreProperties>
</file>