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E5599" w14:textId="2C8F4E88" w:rsidR="00B42D97" w:rsidRPr="003A7EE2" w:rsidRDefault="00963C10" w:rsidP="00EC1851">
      <w:pPr>
        <w:pStyle w:val="ECVLeftHeading"/>
        <w:jc w:val="both"/>
        <w:rPr>
          <w:rFonts w:asciiTheme="majorBidi" w:hAnsiTheme="majorBidi" w:cstheme="majorBidi"/>
          <w:b/>
          <w:bCs/>
          <w:caps w:val="0"/>
          <w:sz w:val="24"/>
        </w:rPr>
      </w:pPr>
      <w:r w:rsidRPr="003A7EE2">
        <w:rPr>
          <w:rFonts w:asciiTheme="majorBidi" w:hAnsiTheme="majorBidi" w:cstheme="majorBidi"/>
          <w:b/>
          <w:bCs/>
          <w:caps w:val="0"/>
          <w:sz w:val="24"/>
        </w:rPr>
        <w:t xml:space="preserve">Articole </w:t>
      </w:r>
      <w:r w:rsidR="00B42D97" w:rsidRPr="003A7EE2">
        <w:rPr>
          <w:rFonts w:asciiTheme="majorBidi" w:hAnsiTheme="majorBidi" w:cstheme="majorBidi"/>
          <w:b/>
          <w:bCs/>
          <w:caps w:val="0"/>
          <w:sz w:val="24"/>
        </w:rPr>
        <w:t xml:space="preserve">ISI </w:t>
      </w:r>
      <w:r w:rsidR="003A7EE2" w:rsidRPr="003A7EE2">
        <w:rPr>
          <w:rFonts w:asciiTheme="majorBidi" w:hAnsiTheme="majorBidi" w:cstheme="majorBidi"/>
          <w:b/>
          <w:bCs/>
          <w:caps w:val="0"/>
          <w:sz w:val="24"/>
        </w:rPr>
        <w:t>(Cele mai relevante 10 articole)</w:t>
      </w:r>
    </w:p>
    <w:p w14:paraId="11390391" w14:textId="4D8092C9" w:rsidR="00B42D97" w:rsidRPr="00AF11E5" w:rsidRDefault="00B42D97" w:rsidP="00AF11E5">
      <w:pPr>
        <w:numPr>
          <w:ilvl w:val="0"/>
          <w:numId w:val="1"/>
        </w:numPr>
        <w:tabs>
          <w:tab w:val="left" w:pos="995"/>
        </w:tabs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Khair Y, Mustafa A, Mestrihi S, Azzam E, Al-Qasaimeh M, </w:t>
      </w:r>
      <w:r w:rsidRPr="003A7EE2">
        <w:rPr>
          <w:rFonts w:asciiTheme="majorBidi" w:hAnsiTheme="majorBidi" w:cstheme="majorBidi"/>
          <w:b/>
          <w:bCs/>
          <w:sz w:val="24"/>
        </w:rPr>
        <w:t>Awad D</w:t>
      </w:r>
      <w:r w:rsidRPr="003A7EE2">
        <w:rPr>
          <w:rFonts w:asciiTheme="majorBidi" w:hAnsiTheme="majorBidi" w:cstheme="majorBidi"/>
          <w:sz w:val="24"/>
        </w:rPr>
        <w:t xml:space="preserve">, Ovidiu A. Outcome in TFCC repair using micro anchor and trans‑osseous technique. Exp Ther Med. 2023 Oct 17;26(6):557. </w:t>
      </w:r>
      <w:hyperlink r:id="rId5" w:history="1">
        <w:r w:rsidR="00AF11E5" w:rsidRPr="00FD573C">
          <w:rPr>
            <w:rStyle w:val="Hyperlink"/>
            <w:rFonts w:asciiTheme="majorBidi" w:hAnsiTheme="majorBidi" w:cstheme="majorBidi"/>
            <w:sz w:val="24"/>
          </w:rPr>
          <w:t>https://doi</w:t>
        </w:r>
        <w:r w:rsidR="00AF11E5">
          <w:rPr>
            <w:rStyle w:val="Hyperlink"/>
            <w:rFonts w:asciiTheme="majorBidi" w:hAnsiTheme="majorBidi" w:cstheme="majorBidi"/>
            <w:sz w:val="24"/>
          </w:rPr>
          <w:t>.org/</w:t>
        </w:r>
        <w:r w:rsidR="00AF11E5" w:rsidRPr="00FD573C">
          <w:rPr>
            <w:rStyle w:val="Hyperlink"/>
            <w:rFonts w:asciiTheme="majorBidi" w:hAnsiTheme="majorBidi" w:cstheme="majorBidi"/>
            <w:sz w:val="24"/>
          </w:rPr>
          <w:t>10.3892/etm.2023.12256</w:t>
        </w:r>
      </w:hyperlink>
      <w:r w:rsidR="00AF11E5">
        <w:rPr>
          <w:rFonts w:asciiTheme="majorBidi" w:hAnsiTheme="majorBidi" w:cstheme="majorBidi"/>
          <w:sz w:val="24"/>
        </w:rPr>
        <w:t xml:space="preserve">  </w:t>
      </w:r>
      <w:r w:rsidRPr="003A7EE2">
        <w:rPr>
          <w:rFonts w:asciiTheme="majorBidi" w:hAnsiTheme="majorBidi" w:cstheme="majorBidi"/>
          <w:sz w:val="24"/>
        </w:rPr>
        <w:t>. PMID: 37941586; PMCID: PMC1062</w:t>
      </w:r>
      <w:r w:rsidR="00EC1851" w:rsidRPr="003A7EE2">
        <w:rPr>
          <w:rFonts w:asciiTheme="majorBidi" w:hAnsiTheme="majorBidi" w:cstheme="majorBidi"/>
          <w:sz w:val="24"/>
        </w:rPr>
        <w:t xml:space="preserve"> </w:t>
      </w:r>
      <w:r w:rsidR="00EC1851" w:rsidRPr="003A7EE2">
        <w:rPr>
          <w:rFonts w:asciiTheme="majorBidi" w:hAnsiTheme="majorBidi" w:cstheme="majorBidi"/>
          <w:b/>
          <w:bCs/>
          <w:sz w:val="24"/>
        </w:rPr>
        <w:t>*Autor corespondent</w:t>
      </w:r>
      <w:r w:rsidR="004B20A8" w:rsidRPr="00AF11E5">
        <w:rPr>
          <w:rFonts w:asciiTheme="majorBidi" w:hAnsiTheme="majorBidi" w:cstheme="majorBidi"/>
          <w:sz w:val="24"/>
        </w:rPr>
        <w:t xml:space="preserve"> </w:t>
      </w:r>
      <w:r w:rsidR="00EC1851" w:rsidRPr="00AF11E5">
        <w:rPr>
          <w:rFonts w:asciiTheme="majorBidi" w:hAnsiTheme="majorBidi" w:cstheme="majorBidi"/>
          <w:sz w:val="24"/>
        </w:rPr>
        <w:t>(IF = 2.4, ISI Q3)</w:t>
      </w:r>
    </w:p>
    <w:p w14:paraId="534A9051" w14:textId="4414C0C1" w:rsidR="00B42D97" w:rsidRPr="003A7EE2" w:rsidRDefault="00B42D97" w:rsidP="00EC1851">
      <w:pPr>
        <w:pStyle w:val="ECVText"/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b/>
          <w:bCs/>
          <w:sz w:val="24"/>
        </w:rPr>
        <w:t>Dmour, A.;</w:t>
      </w:r>
      <w:r w:rsidRPr="003A7EE2">
        <w:rPr>
          <w:rFonts w:asciiTheme="majorBidi" w:hAnsiTheme="majorBidi" w:cstheme="majorBidi"/>
          <w:sz w:val="24"/>
        </w:rPr>
        <w:t xml:space="preserve"> Tirnovanu, S.-D.; Popescu, D.-C.; Forna, N.; Pinteala, T.; Dmour, B.-A.; Savin, L.; Veliceasa, B.; Filip, A.; Carp, A.C.; et al. Advancements in Diagnosis and Management of Distal Radioulnar Joint Instability: A Comprehensive Review Including a New Classification for DRUJ Injuries. </w:t>
      </w:r>
      <w:r w:rsidRPr="003A7EE2">
        <w:rPr>
          <w:rFonts w:asciiTheme="majorBidi" w:hAnsiTheme="majorBidi" w:cstheme="majorBidi"/>
          <w:i/>
          <w:iCs/>
          <w:sz w:val="24"/>
        </w:rPr>
        <w:t>J. Pers. Med.</w:t>
      </w:r>
      <w:r w:rsidRPr="003A7EE2">
        <w:rPr>
          <w:rFonts w:asciiTheme="majorBidi" w:hAnsiTheme="majorBidi" w:cstheme="majorBidi"/>
          <w:sz w:val="24"/>
        </w:rPr>
        <w:t> 2024, </w:t>
      </w:r>
      <w:r w:rsidRPr="003A7EE2">
        <w:rPr>
          <w:rFonts w:asciiTheme="majorBidi" w:hAnsiTheme="majorBidi" w:cstheme="majorBidi"/>
          <w:i/>
          <w:iCs/>
          <w:sz w:val="24"/>
        </w:rPr>
        <w:t>14</w:t>
      </w:r>
      <w:r w:rsidRPr="003A7EE2">
        <w:rPr>
          <w:rFonts w:asciiTheme="majorBidi" w:hAnsiTheme="majorBidi" w:cstheme="majorBidi"/>
          <w:sz w:val="24"/>
        </w:rPr>
        <w:t xml:space="preserve">, 943. </w:t>
      </w:r>
      <w:hyperlink r:id="rId6" w:history="1">
        <w:r w:rsidR="004B20A8" w:rsidRPr="00FD573C">
          <w:rPr>
            <w:rStyle w:val="Hyperlink"/>
            <w:rFonts w:asciiTheme="majorBidi" w:hAnsiTheme="majorBidi" w:cstheme="majorBidi"/>
            <w:sz w:val="24"/>
          </w:rPr>
          <w:t>https://doi.org/10.3390/jpm14090943</w:t>
        </w:r>
      </w:hyperlink>
      <w:r w:rsidR="00EC1851" w:rsidRPr="003A7EE2">
        <w:rPr>
          <w:rFonts w:asciiTheme="majorBidi" w:hAnsiTheme="majorBidi" w:cstheme="majorBidi"/>
          <w:sz w:val="24"/>
        </w:rPr>
        <w:t>, (IF = 3, ISI Q1)</w:t>
      </w:r>
    </w:p>
    <w:p w14:paraId="6E8F4791" w14:textId="4E79ABA2" w:rsidR="00B42D97" w:rsidRPr="003A7EE2" w:rsidRDefault="00B42D97" w:rsidP="00EC1851">
      <w:pPr>
        <w:pStyle w:val="ECVText"/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b/>
          <w:bCs/>
          <w:sz w:val="24"/>
        </w:rPr>
        <w:t>Dmour, A</w:t>
      </w:r>
      <w:r w:rsidRPr="003A7EE2">
        <w:rPr>
          <w:rFonts w:asciiTheme="majorBidi" w:hAnsiTheme="majorBidi" w:cstheme="majorBidi"/>
          <w:sz w:val="24"/>
        </w:rPr>
        <w:t xml:space="preserve">, Toma Ș-L, Cazac A-M, Tirnovanu SD, Dima N, Dmour B-A, Popescu DC, Alexa O. Comparative Biomechanical Analysis of Kirschner Wire Fixation in Dorsally Displaced Distal Radius Fractures. Life. 2024; 14(12):1684. </w:t>
      </w:r>
      <w:hyperlink r:id="rId7" w:history="1">
        <w:r w:rsidR="00EC1851" w:rsidRPr="003A7EE2">
          <w:rPr>
            <w:rStyle w:val="Hyperlink"/>
            <w:rFonts w:asciiTheme="majorBidi" w:hAnsiTheme="majorBidi" w:cstheme="majorBidi"/>
            <w:sz w:val="24"/>
          </w:rPr>
          <w:t>https://doi.org/10.3390/life14121684</w:t>
        </w:r>
      </w:hyperlink>
      <w:r w:rsidR="00EC1851"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45393079" w14:textId="0F239A4E" w:rsidR="00B42D97" w:rsidRPr="003A7EE2" w:rsidRDefault="00B42D97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b/>
          <w:bCs/>
          <w:sz w:val="24"/>
        </w:rPr>
        <w:t>Dmour A,</w:t>
      </w:r>
      <w:r w:rsidRPr="003A7EE2">
        <w:rPr>
          <w:rFonts w:asciiTheme="majorBidi" w:hAnsiTheme="majorBidi" w:cstheme="majorBidi"/>
          <w:sz w:val="24"/>
        </w:rPr>
        <w:t xml:space="preserve"> Burlui AM, Dmour B-A, Tîrnovanu Ș-D, Popescu D-C, Tîrnovanu MC, Savin L, Pertea M, Cozma T, Carp AC, et al. Interobserver and Intraobserver Reliability of a Novel Classification System for Distal Radioulnar Joint Instability. Life. 2026; 16(2):243. </w:t>
      </w:r>
      <w:hyperlink r:id="rId8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https://doi.org/10.3390/life16020243</w:t>
        </w:r>
      </w:hyperlink>
      <w:r w:rsidR="00EC1851"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3E0576E3" w14:textId="1631B9E9" w:rsidR="00B42D97" w:rsidRPr="003A7EE2" w:rsidRDefault="00B42D97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Carp AC, Veliceasa B, </w:t>
      </w:r>
      <w:r w:rsidRPr="003A7EE2">
        <w:rPr>
          <w:rFonts w:asciiTheme="majorBidi" w:hAnsiTheme="majorBidi" w:cstheme="majorBidi"/>
          <w:b/>
          <w:bCs/>
          <w:sz w:val="24"/>
        </w:rPr>
        <w:t>Awad D,</w:t>
      </w:r>
      <w:r w:rsidRPr="003A7EE2">
        <w:rPr>
          <w:rFonts w:asciiTheme="majorBidi" w:hAnsiTheme="majorBidi" w:cstheme="majorBidi"/>
          <w:sz w:val="24"/>
        </w:rPr>
        <w:t xml:space="preserve"> Filip A, Perțea M, Forna N, Puha B, Tîrnovanu ȘD, Sîrbu MT, Pavăl SD, et al. Biomechanical Comparison of Three Fixation Constructs for Tile Type C1.2 Pelvic Ring Fractures: A Finite Element Analysis. Life. 2026; 16(2):336. </w:t>
      </w:r>
      <w:hyperlink r:id="rId9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https://doi.org/10.3390/life16020336</w:t>
        </w:r>
      </w:hyperlink>
      <w:r w:rsidR="00EC1851"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329503DD" w14:textId="0DDC12E1" w:rsidR="00B42D97" w:rsidRPr="003A7EE2" w:rsidRDefault="00B42D97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b/>
          <w:bCs/>
          <w:sz w:val="24"/>
        </w:rPr>
        <w:t>Dmour A</w:t>
      </w:r>
      <w:r w:rsidRPr="003A7EE2">
        <w:rPr>
          <w:rFonts w:asciiTheme="majorBidi" w:hAnsiTheme="majorBidi" w:cstheme="majorBidi"/>
          <w:sz w:val="24"/>
        </w:rPr>
        <w:t xml:space="preserve">, Puha B, Enescu G, Carp A-C, Dmour B-A, Tîrnovanu Ș-D, Popescu D-C, Savin L, Forna N, Pinteala T, et al. Integrated Bone and Ligamentous Reconstruction of the Distal Radius After Oncologic Resection: Proximal Fibular Autograft Combined with Distal Oblique Bundle Reconstruction. Life. 2026; 16(3):370. </w:t>
      </w:r>
      <w:hyperlink r:id="rId10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https://doi.org/10.3390/life16030370</w:t>
        </w:r>
      </w:hyperlink>
      <w:r w:rsidR="00EC1851"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19C214AC" w14:textId="79A54849" w:rsidR="00B42D97" w:rsidRPr="003A7EE2" w:rsidRDefault="00B42D97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b/>
          <w:bCs/>
          <w:sz w:val="24"/>
        </w:rPr>
        <w:t>Dmour A,</w:t>
      </w:r>
      <w:r w:rsidRPr="003A7EE2">
        <w:rPr>
          <w:rFonts w:asciiTheme="majorBidi" w:hAnsiTheme="majorBidi" w:cstheme="majorBidi"/>
          <w:sz w:val="24"/>
        </w:rPr>
        <w:t xml:space="preserve"> Khair Y, Alyamani A, Sirbu P-D, Dmour B-A, Al-Zoubi A, Al-Saraireh Y, Gheorghevici T-S, Tirnovanu S-D, Popescu D-C, et al. Prognostic Value of Intraoperative Distal Radioulnar Joint Instability Grading in Distal Radius and Galeazzi Fractures: A Prospective Multicenter Cohort Study. Life. 2026; 16(3):437. </w:t>
      </w:r>
      <w:hyperlink r:id="rId11" w:history="1">
        <w:r w:rsidR="00EC1851" w:rsidRPr="003A7EE2">
          <w:rPr>
            <w:rStyle w:val="Hyperlink"/>
            <w:rFonts w:asciiTheme="majorBidi" w:hAnsiTheme="majorBidi" w:cstheme="majorBidi"/>
            <w:sz w:val="24"/>
          </w:rPr>
          <w:t>https://doi.org/10.3390/life16030437</w:t>
        </w:r>
      </w:hyperlink>
      <w:r w:rsidR="00EC1851"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69AE5769" w14:textId="0A8E890B" w:rsidR="00804781" w:rsidRPr="003A7EE2" w:rsidRDefault="00804781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>Carp AC</w:t>
      </w:r>
      <w:r w:rsidRPr="003A7EE2">
        <w:rPr>
          <w:rFonts w:asciiTheme="majorBidi" w:hAnsiTheme="majorBidi" w:cstheme="majorBidi"/>
          <w:b/>
          <w:bCs/>
          <w:sz w:val="24"/>
        </w:rPr>
        <w:t>, Dmour A,</w:t>
      </w:r>
      <w:r w:rsidRPr="003A7EE2">
        <w:rPr>
          <w:rFonts w:asciiTheme="majorBidi" w:hAnsiTheme="majorBidi" w:cstheme="majorBidi"/>
          <w:sz w:val="24"/>
        </w:rPr>
        <w:t xml:space="preserve"> Ștefănoiu R, Șerban N, Sîrbu M-T, Puha B, Forna N, Savin L, Filip A, Popescu D-C, et al. Exploratory Biomechanical Comparison of Three Posterior Pelvic Ring Fixation Strategies in a Standardized Tile C1.2 Synthetic Model. </w:t>
      </w:r>
      <w:r w:rsidRPr="003A7EE2">
        <w:rPr>
          <w:rFonts w:asciiTheme="majorBidi" w:hAnsiTheme="majorBidi" w:cstheme="majorBidi"/>
          <w:i/>
          <w:iCs/>
          <w:sz w:val="24"/>
        </w:rPr>
        <w:t>Diagnostics</w:t>
      </w:r>
      <w:r w:rsidRPr="003A7EE2">
        <w:rPr>
          <w:rFonts w:asciiTheme="majorBidi" w:hAnsiTheme="majorBidi" w:cstheme="majorBidi"/>
          <w:sz w:val="24"/>
        </w:rPr>
        <w:t xml:space="preserve">. 2026; 16(9):1273. </w:t>
      </w:r>
      <w:hyperlink r:id="rId12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https://doi.org/10.3390/diagnostics16091273</w:t>
        </w:r>
      </w:hyperlink>
      <w:r w:rsidR="00EC1851" w:rsidRPr="003A7EE2">
        <w:rPr>
          <w:rFonts w:asciiTheme="majorBidi" w:hAnsiTheme="majorBidi" w:cstheme="majorBidi"/>
          <w:sz w:val="24"/>
        </w:rPr>
        <w:t xml:space="preserve">  </w:t>
      </w:r>
      <w:r w:rsidR="00EC1851" w:rsidRPr="003A7EE2">
        <w:rPr>
          <w:rFonts w:asciiTheme="majorBidi" w:hAnsiTheme="majorBidi" w:cstheme="majorBidi"/>
          <w:b/>
          <w:bCs/>
          <w:sz w:val="24"/>
        </w:rPr>
        <w:t xml:space="preserve">*Autor corespondent </w:t>
      </w:r>
      <w:r w:rsidR="00EC1851" w:rsidRPr="003A7EE2">
        <w:rPr>
          <w:rFonts w:asciiTheme="majorBidi" w:hAnsiTheme="majorBidi" w:cstheme="majorBidi"/>
          <w:sz w:val="24"/>
        </w:rPr>
        <w:t>(IF = 3.3, ISI Q1)</w:t>
      </w:r>
    </w:p>
    <w:p w14:paraId="7C99CE84" w14:textId="5ACED61C" w:rsidR="00804781" w:rsidRDefault="00804781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Carp AC, Veliceasa B, </w:t>
      </w:r>
      <w:r w:rsidRPr="003A7EE2">
        <w:rPr>
          <w:rFonts w:asciiTheme="majorBidi" w:hAnsiTheme="majorBidi" w:cstheme="majorBidi"/>
          <w:b/>
          <w:bCs/>
          <w:sz w:val="24"/>
        </w:rPr>
        <w:t>Dmour A,</w:t>
      </w:r>
      <w:r w:rsidRPr="003A7EE2">
        <w:rPr>
          <w:rFonts w:asciiTheme="majorBidi" w:hAnsiTheme="majorBidi" w:cstheme="majorBidi"/>
          <w:sz w:val="24"/>
        </w:rPr>
        <w:t xml:space="preserve"> Șelaru Ș, Tîrnovanu Ș-D, Sîrbu M-T, Puha B, Forna N, Savin L, Filip A, et al. Radiographic Changes After Pubic Symphysis Plating and Their Clinical Relevance: An Exploratory Longitudinal Cohort Study. </w:t>
      </w:r>
      <w:r w:rsidRPr="003A7EE2">
        <w:rPr>
          <w:rFonts w:asciiTheme="majorBidi" w:hAnsiTheme="majorBidi" w:cstheme="majorBidi"/>
          <w:i/>
          <w:iCs/>
          <w:sz w:val="24"/>
        </w:rPr>
        <w:t>Life</w:t>
      </w:r>
      <w:r w:rsidRPr="003A7EE2">
        <w:rPr>
          <w:rFonts w:asciiTheme="majorBidi" w:hAnsiTheme="majorBidi" w:cstheme="majorBidi"/>
          <w:sz w:val="24"/>
        </w:rPr>
        <w:t xml:space="preserve">. 2026; 16(5):730. </w:t>
      </w:r>
      <w:hyperlink r:id="rId13" w:history="1">
        <w:r w:rsidR="00EC1851" w:rsidRPr="003A7EE2">
          <w:rPr>
            <w:rStyle w:val="Hyperlink"/>
            <w:rFonts w:asciiTheme="majorBidi" w:hAnsiTheme="majorBidi" w:cstheme="majorBidi"/>
            <w:sz w:val="24"/>
          </w:rPr>
          <w:t>https://doi.org/10.3390/life16050730</w:t>
        </w:r>
      </w:hyperlink>
      <w:r w:rsidR="00EC1851"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091F392C" w14:textId="168FF570" w:rsidR="004B20A8" w:rsidRPr="004B20A8" w:rsidRDefault="004513A6" w:rsidP="004513A6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Tîrnovanu Ș-D, </w:t>
      </w:r>
      <w:r w:rsidRPr="003A7EE2">
        <w:rPr>
          <w:rFonts w:asciiTheme="majorBidi" w:hAnsiTheme="majorBidi" w:cstheme="majorBidi"/>
          <w:b/>
          <w:bCs/>
          <w:sz w:val="24"/>
        </w:rPr>
        <w:t>Dmour A</w:t>
      </w:r>
      <w:r w:rsidRPr="003A7EE2">
        <w:rPr>
          <w:rFonts w:asciiTheme="majorBidi" w:hAnsiTheme="majorBidi" w:cstheme="majorBidi"/>
          <w:sz w:val="24"/>
        </w:rPr>
        <w:t>, Forna N, et al. Outcomes of cemented bipolar radial head arthroplasty: case series of 7 patients. Romanian Journal of Oral Rehabilitation. 2024;16(4):919-925.</w:t>
      </w:r>
      <w:hyperlink r:id="rId14" w:history="1">
        <w:r w:rsidR="00AF11E5" w:rsidRPr="00FD573C">
          <w:rPr>
            <w:rStyle w:val="Hyperlink"/>
            <w:rFonts w:asciiTheme="majorBidi" w:hAnsiTheme="majorBidi" w:cstheme="majorBidi"/>
            <w:sz w:val="24"/>
          </w:rPr>
          <w:t>https://doi.org/10.62610/RJOR.2024.4.16.88</w:t>
        </w:r>
      </w:hyperlink>
      <w:r w:rsidR="00AF11E5">
        <w:rPr>
          <w:rFonts w:asciiTheme="majorBidi" w:hAnsiTheme="majorBidi" w:cstheme="majorBidi"/>
          <w:sz w:val="24"/>
        </w:rPr>
        <w:t xml:space="preserve"> </w:t>
      </w:r>
      <w:r w:rsidRPr="003A7EE2">
        <w:rPr>
          <w:rFonts w:asciiTheme="majorBidi" w:hAnsiTheme="majorBidi" w:cstheme="majorBidi"/>
          <w:b/>
          <w:bCs/>
          <w:sz w:val="24"/>
        </w:rPr>
        <w:t xml:space="preserve">*Autor corespondent </w:t>
      </w:r>
    </w:p>
    <w:p w14:paraId="102DD3ED" w14:textId="588BF572" w:rsidR="004513A6" w:rsidRPr="003A7EE2" w:rsidRDefault="004B20A8" w:rsidP="004B20A8">
      <w:pPr>
        <w:ind w:left="1355"/>
        <w:jc w:val="both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 </w:t>
      </w:r>
      <w:r w:rsidR="004513A6" w:rsidRPr="003A7EE2">
        <w:rPr>
          <w:rFonts w:asciiTheme="majorBidi" w:hAnsiTheme="majorBidi" w:cstheme="majorBidi"/>
          <w:sz w:val="24"/>
        </w:rPr>
        <w:t>(IF = 0.6, ISI Q4)</w:t>
      </w:r>
    </w:p>
    <w:p w14:paraId="0708F59B" w14:textId="1EB37E67" w:rsidR="003A7EE2" w:rsidRPr="003A7EE2" w:rsidRDefault="003A7EE2" w:rsidP="003A7EE2">
      <w:pPr>
        <w:pStyle w:val="ECVLeftHeading"/>
        <w:jc w:val="both"/>
        <w:rPr>
          <w:rFonts w:asciiTheme="majorBidi" w:hAnsiTheme="majorBidi" w:cstheme="majorBidi"/>
          <w:b/>
          <w:bCs/>
          <w:caps w:val="0"/>
          <w:sz w:val="24"/>
        </w:rPr>
      </w:pPr>
      <w:r w:rsidRPr="003A7EE2">
        <w:rPr>
          <w:rFonts w:asciiTheme="majorBidi" w:hAnsiTheme="majorBidi" w:cstheme="majorBidi"/>
          <w:b/>
          <w:bCs/>
          <w:caps w:val="0"/>
          <w:sz w:val="24"/>
        </w:rPr>
        <w:lastRenderedPageBreak/>
        <w:t>Teza de doctora</w:t>
      </w:r>
      <w:r w:rsidR="00C66426">
        <w:rPr>
          <w:rFonts w:asciiTheme="majorBidi" w:hAnsiTheme="majorBidi" w:cstheme="majorBidi"/>
          <w:b/>
          <w:bCs/>
          <w:caps w:val="0"/>
          <w:sz w:val="24"/>
        </w:rPr>
        <w:t>t</w:t>
      </w:r>
    </w:p>
    <w:p w14:paraId="50BA583D" w14:textId="55889581" w:rsidR="003A7EE2" w:rsidRDefault="003A7EE2" w:rsidP="004513A6">
      <w:pPr>
        <w:pStyle w:val="ECVLeftHeading"/>
        <w:numPr>
          <w:ilvl w:val="0"/>
          <w:numId w:val="6"/>
        </w:numPr>
        <w:ind w:left="1350"/>
        <w:jc w:val="both"/>
        <w:rPr>
          <w:rFonts w:asciiTheme="majorBidi" w:hAnsiTheme="majorBidi" w:cstheme="majorBidi"/>
          <w:caps w:val="0"/>
          <w:color w:val="3F3A38"/>
          <w:sz w:val="24"/>
        </w:rPr>
      </w:pPr>
      <w:r w:rsidRPr="003A7EE2">
        <w:rPr>
          <w:rFonts w:asciiTheme="majorBidi" w:hAnsiTheme="majorBidi" w:cstheme="majorBidi"/>
          <w:b/>
          <w:bCs/>
          <w:caps w:val="0"/>
          <w:color w:val="3F3A38"/>
          <w:sz w:val="24"/>
        </w:rPr>
        <w:t>Dmour Awad.</w:t>
      </w:r>
      <w:r w:rsidRPr="003A7EE2">
        <w:rPr>
          <w:rFonts w:asciiTheme="majorBidi" w:hAnsiTheme="majorBidi" w:cstheme="majorBidi"/>
          <w:caps w:val="0"/>
          <w:color w:val="3F3A38"/>
          <w:sz w:val="24"/>
        </w:rPr>
        <w:t xml:space="preserve"> Cercetări privind diagnosticul și managementul leziunilor articulației radio-ulnare distale. Teză de doctorat în domeniul Medicină, coordonator Prof. Univ. Dr. Paul Dan Sîrbu, Universitatea de Medicină și Farmacie „Grigore T. Popa” Iași, 2026.</w:t>
      </w:r>
    </w:p>
    <w:p w14:paraId="47FB1A47" w14:textId="77777777" w:rsidR="003A7EE2" w:rsidRPr="003A7EE2" w:rsidRDefault="003A7EE2" w:rsidP="003A7EE2">
      <w:pPr>
        <w:tabs>
          <w:tab w:val="left" w:pos="995"/>
        </w:tabs>
        <w:jc w:val="both"/>
        <w:rPr>
          <w:rFonts w:asciiTheme="majorBidi" w:hAnsiTheme="majorBidi" w:cstheme="majorBidi"/>
          <w:b/>
          <w:bCs/>
          <w:color w:val="2F5496" w:themeColor="accent1" w:themeShade="BF"/>
          <w:sz w:val="24"/>
          <w:lang w:bidi="ar-EG"/>
        </w:rPr>
      </w:pPr>
      <w:r w:rsidRPr="003A7EE2">
        <w:rPr>
          <w:rFonts w:asciiTheme="majorBidi" w:hAnsiTheme="majorBidi" w:cstheme="majorBidi"/>
          <w:b/>
          <w:bCs/>
          <w:color w:val="2F5496" w:themeColor="accent1" w:themeShade="BF"/>
          <w:sz w:val="24"/>
        </w:rPr>
        <w:t>Car</w:t>
      </w:r>
      <w:r w:rsidRPr="003A7EE2">
        <w:rPr>
          <w:rFonts w:asciiTheme="majorBidi" w:hAnsiTheme="majorBidi" w:cstheme="majorBidi"/>
          <w:b/>
          <w:bCs/>
          <w:color w:val="2F5496" w:themeColor="accent1" w:themeShade="BF"/>
          <w:sz w:val="24"/>
          <w:lang w:bidi="ar-EG"/>
        </w:rPr>
        <w:t>ți/Capitole carți</w:t>
      </w:r>
    </w:p>
    <w:p w14:paraId="072BE4FF" w14:textId="7A1786F2" w:rsidR="003A7EE2" w:rsidRPr="003A7EE2" w:rsidRDefault="003A7EE2" w:rsidP="003A7EE2">
      <w:pPr>
        <w:numPr>
          <w:ilvl w:val="0"/>
          <w:numId w:val="4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</w:rPr>
      </w:pPr>
      <w:r w:rsidRPr="003A7EE2">
        <w:rPr>
          <w:rFonts w:asciiTheme="majorBidi" w:hAnsiTheme="majorBidi" w:cstheme="majorBidi"/>
          <w:b/>
          <w:bCs/>
          <w:color w:val="000000" w:themeColor="text1"/>
          <w:sz w:val="24"/>
        </w:rPr>
        <w:t>Dmour A.</w:t>
      </w:r>
      <w:r w:rsidRPr="003A7EE2">
        <w:rPr>
          <w:rFonts w:asciiTheme="majorBidi" w:hAnsiTheme="majorBidi" w:cstheme="majorBidi"/>
          <w:color w:val="000000" w:themeColor="text1"/>
          <w:sz w:val="24"/>
        </w:rPr>
        <w:t xml:space="preserve"> </w:t>
      </w:r>
      <w:r w:rsidR="00482B2E">
        <w:rPr>
          <w:rFonts w:asciiTheme="majorBidi" w:hAnsiTheme="majorBidi" w:cstheme="majorBidi"/>
          <w:color w:val="000000" w:themeColor="text1"/>
          <w:sz w:val="24"/>
        </w:rPr>
        <w:t>Autor carte:</w:t>
      </w:r>
      <w:r w:rsidRPr="003A7EE2">
        <w:rPr>
          <w:rFonts w:asciiTheme="majorBidi" w:hAnsiTheme="majorBidi" w:cstheme="majorBidi"/>
          <w:color w:val="000000" w:themeColor="text1"/>
          <w:sz w:val="24"/>
        </w:rPr>
        <w:t xml:space="preserve"> Dispozitive medicale în ortopedie și traumatologie. Note de curs.</w:t>
      </w:r>
      <w:r w:rsidR="00482B2E">
        <w:rPr>
          <w:rFonts w:asciiTheme="majorBidi" w:hAnsiTheme="majorBidi" w:cstheme="majorBidi"/>
          <w:color w:val="000000" w:themeColor="text1"/>
          <w:sz w:val="24"/>
        </w:rPr>
        <w:t xml:space="preserve"> Autor capitol: Materiale de osteosinteza. </w:t>
      </w:r>
      <w:r w:rsidRPr="003A7EE2">
        <w:rPr>
          <w:rFonts w:asciiTheme="majorBidi" w:hAnsiTheme="majorBidi" w:cstheme="majorBidi"/>
          <w:color w:val="000000" w:themeColor="text1"/>
          <w:sz w:val="24"/>
        </w:rPr>
        <w:t>Iași: Editura “Gr. T. Popa”; 2025.</w:t>
      </w:r>
      <w:r w:rsidRPr="003A7EE2">
        <w:rPr>
          <w:rFonts w:asciiTheme="majorBidi" w:hAnsiTheme="majorBidi" w:cstheme="majorBidi"/>
          <w:color w:val="000000" w:themeColor="text1"/>
          <w:sz w:val="24"/>
        </w:rPr>
        <w:br/>
        <w:t>Author of Chapter 5: Materiale de osteosinteză.</w:t>
      </w:r>
    </w:p>
    <w:p w14:paraId="6E7BA00B" w14:textId="47906FD9" w:rsidR="003A7EE2" w:rsidRPr="003A7EE2" w:rsidRDefault="003A7EE2" w:rsidP="003A7EE2">
      <w:pPr>
        <w:pStyle w:val="ECVLeftHeading"/>
        <w:jc w:val="both"/>
        <w:rPr>
          <w:rFonts w:asciiTheme="majorBidi" w:hAnsiTheme="majorBidi" w:cstheme="majorBidi"/>
          <w:b/>
          <w:bCs/>
          <w:caps w:val="0"/>
          <w:sz w:val="24"/>
        </w:rPr>
      </w:pPr>
      <w:r w:rsidRPr="003A7EE2">
        <w:rPr>
          <w:rFonts w:asciiTheme="majorBidi" w:hAnsiTheme="majorBidi" w:cstheme="majorBidi"/>
          <w:b/>
          <w:bCs/>
          <w:caps w:val="0"/>
          <w:sz w:val="24"/>
        </w:rPr>
        <w:t xml:space="preserve">Articole ISI </w:t>
      </w:r>
      <w:r w:rsidR="00BE4D55">
        <w:rPr>
          <w:rFonts w:asciiTheme="majorBidi" w:hAnsiTheme="majorBidi" w:cstheme="majorBidi"/>
          <w:b/>
          <w:bCs/>
          <w:caps w:val="0"/>
          <w:sz w:val="24"/>
        </w:rPr>
        <w:t>(Continuare)</w:t>
      </w:r>
    </w:p>
    <w:p w14:paraId="3A5DE23A" w14:textId="003A7A2E" w:rsidR="00EC1851" w:rsidRPr="003A7EE2" w:rsidRDefault="00EC1851" w:rsidP="00EC1851">
      <w:pPr>
        <w:numPr>
          <w:ilvl w:val="0"/>
          <w:numId w:val="1"/>
        </w:numPr>
        <w:tabs>
          <w:tab w:val="left" w:pos="995"/>
        </w:tabs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color w:val="212121"/>
          <w:sz w:val="24"/>
          <w:shd w:val="clear" w:color="auto" w:fill="FFFFFF"/>
        </w:rPr>
        <w:t xml:space="preserve">Dmour BA, Costache AD, </w:t>
      </w:r>
      <w:r w:rsidRPr="003A7EE2">
        <w:rPr>
          <w:rFonts w:asciiTheme="majorBidi" w:hAnsiTheme="majorBidi" w:cstheme="majorBidi"/>
          <w:b/>
          <w:bCs/>
          <w:color w:val="212121"/>
          <w:sz w:val="24"/>
          <w:shd w:val="clear" w:color="auto" w:fill="FFFFFF"/>
        </w:rPr>
        <w:t>Dmour A</w:t>
      </w:r>
      <w:r w:rsidRPr="003A7EE2">
        <w:rPr>
          <w:rFonts w:asciiTheme="majorBidi" w:hAnsiTheme="majorBidi" w:cstheme="majorBidi"/>
          <w:color w:val="212121"/>
          <w:sz w:val="24"/>
          <w:shd w:val="clear" w:color="auto" w:fill="FFFFFF"/>
        </w:rPr>
        <w:t>, Huzum B, Duca ȘT, Chetran A, Miftode RȘ, Afrăsânie I, Tuchiluș C, Cianga CM, Botnariu G, Șerban LI, Ciocoiu M, Bădescu CM, Costache II. Could Endothelin-1 Be a Promising Neurohormonal Biomarker in Acute Heart Failure? Diagnostics (Basel). 2023 Jul 5;13(13):2277. doi: 10.3390/diagnostics13132277. PMID: 37443671; PMCID: PMC10340204.</w:t>
      </w:r>
      <w:r w:rsidR="004B20A8">
        <w:rPr>
          <w:rFonts w:asciiTheme="majorBidi" w:hAnsiTheme="majorBidi" w:cstheme="majorBidi"/>
          <w:color w:val="212121"/>
          <w:sz w:val="24"/>
          <w:shd w:val="clear" w:color="auto" w:fill="FFFFFF"/>
        </w:rPr>
        <w:t xml:space="preserve"> </w:t>
      </w:r>
      <w:hyperlink r:id="rId15" w:history="1">
        <w:r w:rsidR="004B20A8" w:rsidRPr="00FD573C">
          <w:rPr>
            <w:rStyle w:val="Hyperlink"/>
            <w:rFonts w:asciiTheme="majorBidi" w:hAnsiTheme="majorBidi" w:cstheme="majorBidi"/>
            <w:sz w:val="24"/>
            <w:shd w:val="clear" w:color="auto" w:fill="FFFFFF"/>
          </w:rPr>
          <w:t>https://www.mdpi.com/2075-4418/13/13/2277</w:t>
        </w:r>
      </w:hyperlink>
      <w:r w:rsidR="004B20A8">
        <w:rPr>
          <w:rFonts w:asciiTheme="majorBidi" w:hAnsiTheme="majorBidi" w:cstheme="majorBidi"/>
          <w:color w:val="212121"/>
          <w:sz w:val="24"/>
          <w:shd w:val="clear" w:color="auto" w:fill="FFFFFF"/>
        </w:rPr>
        <w:t xml:space="preserve">  </w:t>
      </w:r>
      <w:r w:rsidRPr="003A7EE2">
        <w:rPr>
          <w:rFonts w:asciiTheme="majorBidi" w:hAnsiTheme="majorBidi" w:cstheme="majorBidi"/>
          <w:color w:val="212121"/>
          <w:sz w:val="24"/>
          <w:shd w:val="clear" w:color="auto" w:fill="FFFFFF"/>
        </w:rPr>
        <w:t xml:space="preserve"> </w:t>
      </w:r>
      <w:r w:rsidRPr="003A7EE2">
        <w:rPr>
          <w:rFonts w:asciiTheme="majorBidi" w:hAnsiTheme="majorBidi" w:cstheme="majorBidi"/>
          <w:sz w:val="24"/>
        </w:rPr>
        <w:t>(IF = 3.3, ISI Q1)</w:t>
      </w:r>
    </w:p>
    <w:p w14:paraId="17D45CD5" w14:textId="77777777" w:rsidR="004513A6" w:rsidRPr="003A7EE2" w:rsidRDefault="004513A6" w:rsidP="004513A6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Dmour B-A, Badescu MC, Tuchiluș C, Cianga CM, Constantinescu D, Dima N, Duca ȘT, </w:t>
      </w:r>
      <w:r w:rsidRPr="003A7EE2">
        <w:rPr>
          <w:rFonts w:asciiTheme="majorBidi" w:hAnsiTheme="majorBidi" w:cstheme="majorBidi"/>
          <w:b/>
          <w:bCs/>
          <w:sz w:val="24"/>
        </w:rPr>
        <w:t>Dmour A</w:t>
      </w:r>
      <w:r w:rsidRPr="003A7EE2">
        <w:rPr>
          <w:rFonts w:asciiTheme="majorBidi" w:hAnsiTheme="majorBidi" w:cstheme="majorBidi"/>
          <w:sz w:val="24"/>
        </w:rPr>
        <w:t>, Costache AD, Cepoi M-R, et al. Can Endothelin-1 Help Address the Diagnostic and Prognostic Challenges in Multimorbid Acute Heart Failure Patients? </w:t>
      </w:r>
      <w:r w:rsidRPr="003A7EE2">
        <w:rPr>
          <w:rFonts w:asciiTheme="majorBidi" w:hAnsiTheme="majorBidi" w:cstheme="majorBidi"/>
          <w:i/>
          <w:iCs/>
          <w:sz w:val="24"/>
        </w:rPr>
        <w:t>Life</w:t>
      </w:r>
      <w:r w:rsidRPr="003A7EE2">
        <w:rPr>
          <w:rFonts w:asciiTheme="majorBidi" w:hAnsiTheme="majorBidi" w:cstheme="majorBidi"/>
          <w:sz w:val="24"/>
        </w:rPr>
        <w:t xml:space="preserve">. 2025; 15(4):628. </w:t>
      </w:r>
      <w:hyperlink r:id="rId16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https://doi.org/10.3390/life15040628</w:t>
        </w:r>
      </w:hyperlink>
      <w:r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69A6BFE6" w14:textId="77777777" w:rsidR="00EC1851" w:rsidRPr="003A7EE2" w:rsidRDefault="00EC1851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Tîrnovanu Ș-D, Cojocaru E, Veliceasa B, Forna N, Carp A-C, Puha B, Filip A, </w:t>
      </w:r>
      <w:r w:rsidRPr="003A7EE2">
        <w:rPr>
          <w:rFonts w:asciiTheme="majorBidi" w:hAnsiTheme="majorBidi" w:cstheme="majorBidi"/>
          <w:b/>
          <w:bCs/>
          <w:sz w:val="24"/>
        </w:rPr>
        <w:t xml:space="preserve">Dmour A, </w:t>
      </w:r>
      <w:r w:rsidRPr="003A7EE2">
        <w:rPr>
          <w:rFonts w:asciiTheme="majorBidi" w:hAnsiTheme="majorBidi" w:cstheme="majorBidi"/>
          <w:sz w:val="24"/>
        </w:rPr>
        <w:t>Popescu D-C, Alexa O, et al. Femoral Fracture in Pregnancy: A Case Report and Review of Data from the Literature. </w:t>
      </w:r>
      <w:r w:rsidRPr="003A7EE2">
        <w:rPr>
          <w:rFonts w:asciiTheme="majorBidi" w:hAnsiTheme="majorBidi" w:cstheme="majorBidi"/>
          <w:i/>
          <w:iCs/>
          <w:sz w:val="24"/>
        </w:rPr>
        <w:t>Life</w:t>
      </w:r>
      <w:r w:rsidRPr="003A7EE2">
        <w:rPr>
          <w:rFonts w:asciiTheme="majorBidi" w:hAnsiTheme="majorBidi" w:cstheme="majorBidi"/>
          <w:sz w:val="24"/>
        </w:rPr>
        <w:t xml:space="preserve">. 2025; 15(4):601. </w:t>
      </w:r>
      <w:hyperlink r:id="rId17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https://doi.org/10.3390/life15040601</w:t>
        </w:r>
      </w:hyperlink>
      <w:r w:rsidRPr="003A7EE2">
        <w:rPr>
          <w:rFonts w:asciiTheme="majorBidi" w:hAnsiTheme="majorBidi" w:cstheme="majorBidi"/>
          <w:sz w:val="24"/>
        </w:rPr>
        <w:t xml:space="preserve"> </w:t>
      </w:r>
      <w:r w:rsidRPr="003A7EE2">
        <w:rPr>
          <w:rFonts w:asciiTheme="majorBidi" w:hAnsiTheme="majorBidi" w:cstheme="majorBidi"/>
          <w:b/>
          <w:bCs/>
          <w:sz w:val="24"/>
        </w:rPr>
        <w:t xml:space="preserve">*Autor corespondent </w:t>
      </w:r>
      <w:r w:rsidRPr="003A7EE2">
        <w:rPr>
          <w:rFonts w:asciiTheme="majorBidi" w:hAnsiTheme="majorBidi" w:cstheme="majorBidi"/>
          <w:sz w:val="24"/>
        </w:rPr>
        <w:t>(IF = 3.2, ISI Q1)</w:t>
      </w:r>
    </w:p>
    <w:p w14:paraId="19E25579" w14:textId="2AEA3C2F" w:rsidR="004B20A8" w:rsidRDefault="00EC1851" w:rsidP="00AF11E5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Tîrnovanu ȘD, </w:t>
      </w:r>
      <w:r w:rsidRPr="003A7EE2">
        <w:rPr>
          <w:rFonts w:asciiTheme="majorBidi" w:hAnsiTheme="majorBidi" w:cstheme="majorBidi"/>
          <w:b/>
          <w:bCs/>
          <w:sz w:val="24"/>
        </w:rPr>
        <w:t>Dmour A,</w:t>
      </w:r>
      <w:r w:rsidRPr="003A7EE2">
        <w:rPr>
          <w:rFonts w:asciiTheme="majorBidi" w:hAnsiTheme="majorBidi" w:cstheme="majorBidi"/>
          <w:sz w:val="24"/>
        </w:rPr>
        <w:t xml:space="preserve"> Puha B, Popescu DC, Lisnic V, Filip A, Ciupilan C, Alexa O. A complex glenoid fracture following high-energy trauma: Case report and literature review. Medicine (Baltimore). 2025 Aug 8;104(32):e43466. </w:t>
      </w:r>
      <w:hyperlink r:id="rId18" w:history="1">
        <w:r w:rsidR="00AF11E5" w:rsidRPr="00FD573C">
          <w:rPr>
            <w:rStyle w:val="Hyperlink"/>
            <w:rFonts w:asciiTheme="majorBidi" w:hAnsiTheme="majorBidi" w:cstheme="majorBidi"/>
            <w:sz w:val="24"/>
          </w:rPr>
          <w:t>https://doi.org/10.1097/MD.0000000000043466</w:t>
        </w:r>
      </w:hyperlink>
      <w:r w:rsidR="00AF11E5">
        <w:rPr>
          <w:rFonts w:asciiTheme="majorBidi" w:hAnsiTheme="majorBidi" w:cstheme="majorBidi"/>
          <w:sz w:val="24"/>
        </w:rPr>
        <w:t xml:space="preserve"> </w:t>
      </w:r>
      <w:r w:rsidRPr="003A7EE2">
        <w:rPr>
          <w:rFonts w:asciiTheme="majorBidi" w:hAnsiTheme="majorBidi" w:cstheme="majorBidi"/>
          <w:sz w:val="24"/>
        </w:rPr>
        <w:t xml:space="preserve">PMID: 40797470; PMCID: PMC12338208. </w:t>
      </w:r>
      <w:r w:rsidRPr="003A7EE2">
        <w:rPr>
          <w:rFonts w:asciiTheme="majorBidi" w:hAnsiTheme="majorBidi" w:cstheme="majorBidi"/>
          <w:b/>
          <w:bCs/>
          <w:sz w:val="24"/>
        </w:rPr>
        <w:t>*Autor corespondent</w:t>
      </w:r>
      <w:r w:rsidR="004B20A8">
        <w:rPr>
          <w:rFonts w:asciiTheme="majorBidi" w:hAnsiTheme="majorBidi" w:cstheme="majorBidi"/>
          <w:sz w:val="24"/>
        </w:rPr>
        <w:t xml:space="preserve"> </w:t>
      </w:r>
      <w:r w:rsidR="004B20A8" w:rsidRPr="004B20A8">
        <w:rPr>
          <w:rFonts w:asciiTheme="majorBidi" w:hAnsiTheme="majorBidi" w:cstheme="majorBidi"/>
          <w:sz w:val="24"/>
        </w:rPr>
        <w:t>(IF = 1.4,  ISI Q2)</w:t>
      </w:r>
    </w:p>
    <w:p w14:paraId="777B1A28" w14:textId="77777777" w:rsidR="00EC1851" w:rsidRPr="003A7EE2" w:rsidRDefault="00EC1851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Tîrnovanu M-C, Țarcă E, Cojocaru E, Tîrnovanu V-G, Tîrnovanu Ș-D, </w:t>
      </w:r>
      <w:r w:rsidRPr="003A7EE2">
        <w:rPr>
          <w:rFonts w:asciiTheme="majorBidi" w:hAnsiTheme="majorBidi" w:cstheme="majorBidi"/>
          <w:b/>
          <w:bCs/>
          <w:sz w:val="24"/>
        </w:rPr>
        <w:t>Dmour A</w:t>
      </w:r>
      <w:r w:rsidRPr="003A7EE2">
        <w:rPr>
          <w:rFonts w:asciiTheme="majorBidi" w:hAnsiTheme="majorBidi" w:cstheme="majorBidi"/>
          <w:sz w:val="24"/>
        </w:rPr>
        <w:t xml:space="preserve">, Holicov M, Zamfir C-C, Gheorghiu S-C, Covali RA, et al. Reproductive Health Challenges Among Adolescents in Eastern Europe: Evidence from a Romanian Tertiary Hospital. Healthcare. 2026; 14(4):550. </w:t>
      </w:r>
      <w:hyperlink r:id="rId19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https://doi.org/10.3390/healthcare14040550</w:t>
        </w:r>
      </w:hyperlink>
      <w:r w:rsidRPr="003A7EE2">
        <w:rPr>
          <w:rFonts w:asciiTheme="majorBidi" w:hAnsiTheme="majorBidi" w:cstheme="majorBidi"/>
          <w:sz w:val="24"/>
        </w:rPr>
        <w:t xml:space="preserve"> (IF = 2.7, ISI Q2)</w:t>
      </w:r>
    </w:p>
    <w:p w14:paraId="21CC1019" w14:textId="77777777" w:rsidR="00EC1851" w:rsidRPr="003A7EE2" w:rsidRDefault="00EC1851" w:rsidP="00EC1851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</w:rPr>
      </w:pPr>
      <w:r w:rsidRPr="003A7EE2">
        <w:rPr>
          <w:rFonts w:asciiTheme="majorBidi" w:hAnsiTheme="majorBidi" w:cstheme="majorBidi"/>
          <w:sz w:val="24"/>
        </w:rPr>
        <w:t xml:space="preserve">Dmour B-A, Badescu MC, Constantinescu D, Tuchiluș C, Cianga CM, Botnariu GE, Șerban IL, </w:t>
      </w:r>
      <w:r w:rsidRPr="003A7EE2">
        <w:rPr>
          <w:rFonts w:asciiTheme="majorBidi" w:hAnsiTheme="majorBidi" w:cstheme="majorBidi"/>
          <w:b/>
          <w:bCs/>
          <w:sz w:val="24"/>
        </w:rPr>
        <w:t>Dmour A,</w:t>
      </w:r>
      <w:r w:rsidRPr="003A7EE2">
        <w:rPr>
          <w:rFonts w:asciiTheme="majorBidi" w:hAnsiTheme="majorBidi" w:cstheme="majorBidi"/>
          <w:sz w:val="24"/>
        </w:rPr>
        <w:t xml:space="preserve"> Bobu AM, Costache AD, et al. Integrating GDF-15 into Multimarker Assessment of Acute Heart Failure: Diagnostic and Prognostic Implications. Life. 2026; 16(3):503. </w:t>
      </w:r>
      <w:hyperlink r:id="rId20" w:history="1">
        <w:r w:rsidRPr="003A7EE2">
          <w:rPr>
            <w:rStyle w:val="Hyperlink"/>
            <w:rFonts w:asciiTheme="majorBidi" w:hAnsiTheme="majorBidi" w:cstheme="majorBidi"/>
            <w:sz w:val="24"/>
          </w:rPr>
          <w:t>https://doi.org/10.3390/life16030503</w:t>
        </w:r>
      </w:hyperlink>
      <w:r w:rsidRPr="003A7EE2">
        <w:rPr>
          <w:rFonts w:asciiTheme="majorBidi" w:hAnsiTheme="majorBidi" w:cstheme="majorBidi"/>
          <w:sz w:val="24"/>
        </w:rPr>
        <w:t xml:space="preserve"> (IF = 3.2, ISI Q1)</w:t>
      </w:r>
    </w:p>
    <w:p w14:paraId="0E6ECCB6" w14:textId="1C61FFC3" w:rsidR="00B42D97" w:rsidRPr="003A7EE2" w:rsidRDefault="00963C10" w:rsidP="00EC1851">
      <w:pPr>
        <w:tabs>
          <w:tab w:val="left" w:pos="995"/>
        </w:tabs>
        <w:jc w:val="both"/>
        <w:rPr>
          <w:rFonts w:asciiTheme="majorBidi" w:hAnsiTheme="majorBidi" w:cstheme="majorBidi"/>
          <w:b/>
          <w:bCs/>
          <w:color w:val="2F5496" w:themeColor="accent1" w:themeShade="BF"/>
          <w:sz w:val="24"/>
        </w:rPr>
      </w:pPr>
      <w:r w:rsidRPr="003A7EE2">
        <w:rPr>
          <w:rFonts w:asciiTheme="majorBidi" w:hAnsiTheme="majorBidi" w:cstheme="majorBidi"/>
          <w:b/>
          <w:bCs/>
          <w:color w:val="2F5496" w:themeColor="accent1" w:themeShade="BF"/>
          <w:sz w:val="24"/>
        </w:rPr>
        <w:t>Activitate p</w:t>
      </w:r>
      <w:r w:rsidR="00B42D97" w:rsidRPr="003A7EE2">
        <w:rPr>
          <w:rFonts w:asciiTheme="majorBidi" w:hAnsiTheme="majorBidi" w:cstheme="majorBidi"/>
          <w:b/>
          <w:bCs/>
          <w:color w:val="2F5496" w:themeColor="accent1" w:themeShade="BF"/>
          <w:sz w:val="24"/>
        </w:rPr>
        <w:t xml:space="preserve">eer review </w:t>
      </w:r>
    </w:p>
    <w:p w14:paraId="4BB00DCD" w14:textId="12111701" w:rsidR="00B42D97" w:rsidRPr="003A7EE2" w:rsidRDefault="00B42D97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Journal of Liposome Research, Manuscript: “Chitosan-Coated Taxifolin Liposomes Preserve Renal Structure and Function in Mice”, Completed: March</w:t>
      </w:r>
      <w:r w:rsidR="007827CC"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/</w:t>
      </w: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2026</w:t>
      </w:r>
      <w:r w:rsidR="00BE4D55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 =4.3, Q2)</w:t>
      </w:r>
    </w:p>
    <w:p w14:paraId="3C0E4757" w14:textId="5B52B571" w:rsidR="00B42D97" w:rsidRPr="003A7EE2" w:rsidRDefault="00B42D97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Frontiers in Sports and Active Living, Manuscript: “Pathophysiological and Rehabilitative Distinctions Between Tendinopathy and Enthesiopathy: An Opinion Review”, Completed: December</w:t>
      </w:r>
      <w:r w:rsidR="007827CC"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/</w:t>
      </w: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2025</w:t>
      </w:r>
      <w:r w:rsidR="00BC66E7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(IF= 2.6, Q2)</w:t>
      </w:r>
    </w:p>
    <w:p w14:paraId="0AD3B498" w14:textId="53395E58" w:rsidR="00B42D97" w:rsidRPr="003A7EE2" w:rsidRDefault="00B42D97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</w:rPr>
        <w:t>Frontiers in Bioengineering and Biotechnology</w:t>
      </w:r>
      <w:r w:rsidR="007827CC" w:rsidRPr="003A7EE2">
        <w:rPr>
          <w:rFonts w:asciiTheme="majorBidi" w:hAnsiTheme="majorBidi" w:cstheme="majorBidi"/>
          <w:color w:val="000000" w:themeColor="text1"/>
          <w:sz w:val="24"/>
        </w:rPr>
        <w:t>,</w:t>
      </w:r>
      <w:r w:rsidRPr="003A7EE2">
        <w:rPr>
          <w:rFonts w:asciiTheme="majorBidi" w:hAnsiTheme="majorBidi" w:cstheme="majorBidi"/>
          <w:color w:val="000000" w:themeColor="text1"/>
          <w:sz w:val="24"/>
        </w:rPr>
        <w:t xml:space="preserve"> “A novel classification system for Avulsion Fractures of the Distal Fibula based on arthroscopy-assisted measurement and </w:t>
      </w:r>
      <w:r w:rsidRPr="003A7EE2">
        <w:rPr>
          <w:rFonts w:asciiTheme="majorBidi" w:hAnsiTheme="majorBidi" w:cstheme="majorBidi"/>
          <w:color w:val="000000" w:themeColor="text1"/>
          <w:sz w:val="24"/>
        </w:rPr>
        <w:lastRenderedPageBreak/>
        <w:t>significance to surgery and rehabilitation</w:t>
      </w: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”</w:t>
      </w:r>
      <w:r w:rsidRPr="003A7EE2">
        <w:rPr>
          <w:rFonts w:asciiTheme="majorBidi" w:hAnsiTheme="majorBidi" w:cstheme="majorBidi"/>
          <w:color w:val="000000" w:themeColor="text1"/>
          <w:sz w:val="24"/>
        </w:rPr>
        <w:t xml:space="preserve">, </w:t>
      </w:r>
      <w:r w:rsidR="007827CC" w:rsidRPr="003A7EE2">
        <w:rPr>
          <w:rFonts w:asciiTheme="majorBidi" w:hAnsiTheme="majorBidi" w:cstheme="majorBidi"/>
          <w:color w:val="000000" w:themeColor="text1"/>
          <w:sz w:val="24"/>
        </w:rPr>
        <w:t>Completed</w:t>
      </w:r>
      <w:r w:rsidRPr="003A7EE2">
        <w:rPr>
          <w:rFonts w:asciiTheme="majorBidi" w:hAnsiTheme="majorBidi" w:cstheme="majorBidi"/>
          <w:color w:val="000000" w:themeColor="text1"/>
          <w:sz w:val="24"/>
        </w:rPr>
        <w:t xml:space="preserve">: </w:t>
      </w:r>
      <w:r w:rsidR="007827CC" w:rsidRPr="003A7EE2">
        <w:rPr>
          <w:rFonts w:asciiTheme="majorBidi" w:hAnsiTheme="majorBidi" w:cstheme="majorBidi"/>
          <w:color w:val="000000" w:themeColor="text1"/>
          <w:sz w:val="24"/>
        </w:rPr>
        <w:t>March/2026</w:t>
      </w:r>
      <w:r w:rsidR="00BC66E7">
        <w:rPr>
          <w:rFonts w:asciiTheme="majorBidi" w:hAnsiTheme="majorBidi" w:cstheme="majorBidi"/>
          <w:color w:val="000000" w:themeColor="text1"/>
          <w:sz w:val="24"/>
        </w:rPr>
        <w:t xml:space="preserve"> (IF = 4.8, Q1)</w:t>
      </w:r>
    </w:p>
    <w:p w14:paraId="5454EEEF" w14:textId="7526C92F" w:rsidR="007827CC" w:rsidRPr="003A7EE2" w:rsidRDefault="007827CC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</w:rPr>
        <w:t>Frontiers in Medicine - Precision Medicine: „</w:t>
      </w: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Ulnar styloid abduction angle: a novel radiological predictor of Palmer Type IB tears of the triangular fibrocartilage complex”, Completed: April/2026</w:t>
      </w:r>
      <w:r w:rsidR="00BC66E7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 = 3.0, Q1)</w:t>
      </w:r>
    </w:p>
    <w:p w14:paraId="0DB794B4" w14:textId="2F18B5FE" w:rsidR="00BC66E7" w:rsidRPr="00BC66E7" w:rsidRDefault="007827CC" w:rsidP="00BC66E7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</w:rPr>
        <w:t>Frontiers in Bioengineering and Biotechnology – Biomechanics: „</w:t>
      </w: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Biomechanical Comparison of Minimally Invasive Fixation for Sanders II Calcaneal Fractures: A Dynamic Finite Element Study from Rigid Internal Fixation to Elastic Kirschner Wire Configuration”, April/2026</w:t>
      </w:r>
      <w:r w:rsidR="00BC66E7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 =4.8, Q1)</w:t>
      </w:r>
    </w:p>
    <w:p w14:paraId="2E7FC498" w14:textId="31691FD8" w:rsidR="007827CC" w:rsidRPr="003A7EE2" w:rsidRDefault="007827CC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BMC Surgery, “Preoperative Distal Radius CT Hounsfield Unit and Other Imaging Predictors of Postoperative Radiocarpal Traumatic Arthritis After Distal Radius Fracture”, Completed March/2026</w:t>
      </w:r>
      <w:r w:rsidR="00BC66E7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(IF=1.8, Q2)</w:t>
      </w:r>
    </w:p>
    <w:p w14:paraId="4E9F5CB4" w14:textId="5A7520EA" w:rsidR="007827CC" w:rsidRPr="003A7EE2" w:rsidRDefault="007827CC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BMC Surgery, “Preoperative Distal Radius CT Hounsfield Unit and Other Imaging Predictors of Postoperative Radiocarpal Traumatic Arthritis After Distal Radius Fracture”, Completed April/2026</w:t>
      </w:r>
      <w:r w:rsidR="00BC66E7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(IF=1.8, Q2)</w:t>
      </w:r>
    </w:p>
    <w:p w14:paraId="7EFD550E" w14:textId="49143A11" w:rsidR="007827CC" w:rsidRPr="003A7EE2" w:rsidRDefault="007827CC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</w:rPr>
        <w:t>BMC Medical Imaging, „</w:t>
      </w: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Analysis of fracture-line distribution in comminuted distal radius fractures using three-dimensional fracture mapping”, Completed May/2026</w:t>
      </w:r>
      <w:r w:rsidR="00BC66E7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 = 3.2, Q1)</w:t>
      </w:r>
    </w:p>
    <w:p w14:paraId="448D3FA7" w14:textId="329EEB35" w:rsidR="007827CC" w:rsidRPr="003A7EE2" w:rsidRDefault="007827CC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b/>
          <w:bCs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</w:rPr>
        <w:t>BMC Musculoskeletal Disorders, „</w:t>
      </w: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Serum Vitamin D Levels and Association with Distal Radius Fracture Severity and Postoperative Radiological Stability after Volar Locking Plate Fixation”, Completed May/2026</w:t>
      </w:r>
      <w:r w:rsidR="00BC66E7">
        <w:rPr>
          <w:rFonts w:asciiTheme="majorBidi" w:hAnsiTheme="majorBidi" w:cstheme="majorBidi"/>
          <w:color w:val="000000" w:themeColor="text1"/>
          <w:sz w:val="24"/>
          <w:lang w:val="en-US"/>
        </w:rPr>
        <w:t xml:space="preserve"> (IF = 2.4, Q2)</w:t>
      </w:r>
    </w:p>
    <w:p w14:paraId="4CDD62C1" w14:textId="7BF6B689" w:rsidR="007827CC" w:rsidRPr="003A7EE2" w:rsidRDefault="00943C7A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  <w:lang w:val="en-US"/>
        </w:rPr>
        <w:t>Medicina, “</w:t>
      </w:r>
      <w:r w:rsidRPr="003A7EE2">
        <w:rPr>
          <w:rFonts w:asciiTheme="majorBidi" w:hAnsiTheme="majorBidi" w:cstheme="majorBidi"/>
          <w:color w:val="000000" w:themeColor="text1"/>
          <w:sz w:val="24"/>
        </w:rPr>
        <w:t>Preoperative CT-Based Pelvic Sarcopenia and Subcutaneous Adiposity Predict Anaemia and Operative Time in Acetabular Fracture Surgery: A Retrospective Cohort Study”, Completed May/2026</w:t>
      </w:r>
      <w:r w:rsidR="00BC66E7">
        <w:rPr>
          <w:rFonts w:asciiTheme="majorBidi" w:hAnsiTheme="majorBidi" w:cstheme="majorBidi"/>
          <w:color w:val="000000" w:themeColor="text1"/>
          <w:sz w:val="24"/>
        </w:rPr>
        <w:t xml:space="preserve"> (IF = 2.4, Q1)</w:t>
      </w:r>
    </w:p>
    <w:p w14:paraId="12CD0B91" w14:textId="362CEECB" w:rsidR="00943C7A" w:rsidRPr="003A7EE2" w:rsidRDefault="00943C7A" w:rsidP="00EC1851">
      <w:pPr>
        <w:numPr>
          <w:ilvl w:val="0"/>
          <w:numId w:val="5"/>
        </w:numPr>
        <w:tabs>
          <w:tab w:val="left" w:pos="995"/>
        </w:tabs>
        <w:jc w:val="both"/>
        <w:rPr>
          <w:rFonts w:asciiTheme="majorBidi" w:hAnsiTheme="majorBidi" w:cstheme="majorBidi"/>
          <w:color w:val="000000" w:themeColor="text1"/>
          <w:sz w:val="24"/>
          <w:lang w:val="en-US"/>
        </w:rPr>
      </w:pPr>
      <w:r w:rsidRPr="003A7EE2">
        <w:rPr>
          <w:rFonts w:asciiTheme="majorBidi" w:hAnsiTheme="majorBidi" w:cstheme="majorBidi"/>
          <w:color w:val="000000" w:themeColor="text1"/>
          <w:sz w:val="24"/>
        </w:rPr>
        <w:t>JCM, The Pelvic INFIX Technique for Unstable Anterior Pelvic Ring Fractures: Clinical Outcomes, Radiographic Results, and Complications, Completed May/2026</w:t>
      </w:r>
      <w:r w:rsidR="00BC66E7">
        <w:rPr>
          <w:rFonts w:asciiTheme="majorBidi" w:hAnsiTheme="majorBidi" w:cstheme="majorBidi"/>
          <w:color w:val="000000" w:themeColor="text1"/>
          <w:sz w:val="24"/>
        </w:rPr>
        <w:t xml:space="preserve"> (IF = 2.9, Q1)</w:t>
      </w:r>
    </w:p>
    <w:p w14:paraId="6EAD1C8D" w14:textId="0CFFE8EA" w:rsidR="007827CC" w:rsidRPr="003A7EE2" w:rsidRDefault="007827CC" w:rsidP="00EC1851">
      <w:pPr>
        <w:tabs>
          <w:tab w:val="left" w:pos="995"/>
        </w:tabs>
        <w:ind w:left="1355"/>
        <w:jc w:val="both"/>
        <w:rPr>
          <w:rFonts w:asciiTheme="majorBidi" w:hAnsiTheme="majorBidi" w:cstheme="majorBidi"/>
          <w:b/>
          <w:bCs/>
          <w:color w:val="000000" w:themeColor="text1"/>
          <w:sz w:val="24"/>
          <w:lang w:val="en-US"/>
        </w:rPr>
      </w:pPr>
    </w:p>
    <w:p w14:paraId="76C3D27A" w14:textId="2F1D9B25" w:rsidR="00B42D97" w:rsidRPr="003A7EE2" w:rsidRDefault="00963C10" w:rsidP="00EC1851">
      <w:pPr>
        <w:pStyle w:val="ECVLeftHeading"/>
        <w:jc w:val="both"/>
        <w:rPr>
          <w:rFonts w:asciiTheme="majorBidi" w:hAnsiTheme="majorBidi" w:cstheme="majorBidi"/>
          <w:caps w:val="0"/>
          <w:sz w:val="24"/>
        </w:rPr>
      </w:pPr>
      <w:r w:rsidRPr="003A7EE2">
        <w:rPr>
          <w:rFonts w:asciiTheme="majorBidi" w:hAnsiTheme="majorBidi" w:cstheme="majorBidi"/>
          <w:caps w:val="0"/>
          <w:sz w:val="24"/>
        </w:rPr>
        <w:t>Articole BDI</w:t>
      </w:r>
    </w:p>
    <w:p w14:paraId="516E996A" w14:textId="61B192AF" w:rsidR="00B42D97" w:rsidRPr="003A7EE2" w:rsidRDefault="00B42D97" w:rsidP="00EC1851">
      <w:pPr>
        <w:numPr>
          <w:ilvl w:val="0"/>
          <w:numId w:val="2"/>
        </w:numPr>
        <w:tabs>
          <w:tab w:val="left" w:pos="995"/>
        </w:tabs>
        <w:jc w:val="both"/>
        <w:rPr>
          <w:rFonts w:asciiTheme="majorBidi" w:hAnsiTheme="majorBidi" w:cstheme="majorBidi"/>
          <w:color w:val="auto"/>
          <w:sz w:val="24"/>
        </w:rPr>
      </w:pPr>
      <w:r w:rsidRPr="003A7EE2">
        <w:rPr>
          <w:rFonts w:asciiTheme="majorBidi" w:hAnsiTheme="majorBidi" w:cstheme="majorBidi"/>
          <w:color w:val="auto"/>
          <w:sz w:val="24"/>
        </w:rPr>
        <w:t xml:space="preserve">Tîrnovanu, Ș. D., Puha, B., Veliceasa, B., Cozma, T., Lisnic, V., Popescu, D. C., Filip, A., </w:t>
      </w:r>
      <w:r w:rsidRPr="003A7EE2">
        <w:rPr>
          <w:rFonts w:asciiTheme="majorBidi" w:hAnsiTheme="majorBidi" w:cstheme="majorBidi"/>
          <w:b/>
          <w:bCs/>
          <w:color w:val="auto"/>
          <w:sz w:val="24"/>
        </w:rPr>
        <w:t>Dmour, A</w:t>
      </w:r>
      <w:r w:rsidRPr="003A7EE2">
        <w:rPr>
          <w:rFonts w:asciiTheme="majorBidi" w:hAnsiTheme="majorBidi" w:cstheme="majorBidi"/>
          <w:color w:val="auto"/>
          <w:sz w:val="24"/>
        </w:rPr>
        <w:t xml:space="preserve">., &amp; Alexa, O. (2024). Epidemiology and demographic patterns of radial head fractures: A twelve-year analysis from a tertiary trauma center. Med. Surg. J. – Rev. Med. Chir. Soc. Med. Nat., Iași, 128(4), 846–854. </w:t>
      </w:r>
      <w:hyperlink r:id="rId21" w:history="1">
        <w:r w:rsidR="00EC1851" w:rsidRPr="003A7EE2">
          <w:rPr>
            <w:rStyle w:val="Hyperlink"/>
            <w:rFonts w:asciiTheme="majorBidi" w:hAnsiTheme="majorBidi" w:cstheme="majorBidi"/>
            <w:sz w:val="24"/>
          </w:rPr>
          <w:t>https://doi.org/10.22551/MSJ.2024.04.19</w:t>
        </w:r>
      </w:hyperlink>
      <w:r w:rsidR="00EC1851" w:rsidRPr="003A7EE2">
        <w:rPr>
          <w:rFonts w:asciiTheme="majorBidi" w:hAnsiTheme="majorBidi" w:cstheme="majorBidi"/>
          <w:color w:val="auto"/>
          <w:sz w:val="24"/>
        </w:rPr>
        <w:t xml:space="preserve"> </w:t>
      </w:r>
      <w:r w:rsidR="00EC1851" w:rsidRPr="003A7EE2">
        <w:rPr>
          <w:rFonts w:asciiTheme="majorBidi" w:hAnsiTheme="majorBidi" w:cstheme="majorBidi"/>
          <w:b/>
          <w:bCs/>
          <w:sz w:val="24"/>
        </w:rPr>
        <w:t xml:space="preserve">*Autor corespondent </w:t>
      </w:r>
      <w:r w:rsidR="00EC1851" w:rsidRPr="003A7EE2">
        <w:rPr>
          <w:rFonts w:asciiTheme="majorBidi" w:hAnsiTheme="majorBidi" w:cstheme="majorBidi"/>
          <w:sz w:val="24"/>
        </w:rPr>
        <w:t>(IF = 0.1, SJR Q4)</w:t>
      </w:r>
    </w:p>
    <w:p w14:paraId="1B006488" w14:textId="0A883C30" w:rsidR="00B42D97" w:rsidRPr="003A7EE2" w:rsidRDefault="00963C10" w:rsidP="00EC1851">
      <w:pPr>
        <w:tabs>
          <w:tab w:val="left" w:pos="995"/>
        </w:tabs>
        <w:jc w:val="both"/>
        <w:rPr>
          <w:rFonts w:asciiTheme="majorBidi" w:hAnsiTheme="majorBidi" w:cstheme="majorBidi"/>
          <w:color w:val="2F5496"/>
          <w:sz w:val="24"/>
        </w:rPr>
      </w:pPr>
      <w:r w:rsidRPr="003A7EE2">
        <w:rPr>
          <w:rFonts w:asciiTheme="majorBidi" w:hAnsiTheme="majorBidi" w:cstheme="majorBidi"/>
          <w:color w:val="2F5496"/>
          <w:sz w:val="24"/>
        </w:rPr>
        <w:t xml:space="preserve">Articole in Extenso/Conferinte </w:t>
      </w:r>
    </w:p>
    <w:p w14:paraId="791D73E5" w14:textId="77777777" w:rsidR="00B42D97" w:rsidRPr="003A7EE2" w:rsidRDefault="00B42D97" w:rsidP="00EC1851">
      <w:pPr>
        <w:numPr>
          <w:ilvl w:val="0"/>
          <w:numId w:val="3"/>
        </w:numPr>
        <w:jc w:val="both"/>
        <w:rPr>
          <w:rFonts w:asciiTheme="majorBidi" w:hAnsiTheme="majorBidi" w:cstheme="majorBidi"/>
          <w:color w:val="auto"/>
          <w:sz w:val="24"/>
        </w:rPr>
      </w:pPr>
      <w:r w:rsidRPr="003A7EE2">
        <w:rPr>
          <w:rFonts w:asciiTheme="majorBidi" w:hAnsiTheme="majorBidi" w:cstheme="majorBidi"/>
          <w:b/>
          <w:bCs/>
          <w:color w:val="auto"/>
          <w:sz w:val="24"/>
        </w:rPr>
        <w:t>Dmour Awad</w:t>
      </w:r>
      <w:r w:rsidRPr="003A7EE2">
        <w:rPr>
          <w:rFonts w:asciiTheme="majorBidi" w:hAnsiTheme="majorBidi" w:cstheme="majorBidi"/>
          <w:color w:val="auto"/>
          <w:sz w:val="24"/>
        </w:rPr>
        <w:t>, Tobasy Ahmad, Israa Al-Ghneimat. The effect of Anise extract on pathogenic bacteria. Congressis The International Congress for Medical Students, 10-13 aprilie 2014, Iași.</w:t>
      </w:r>
    </w:p>
    <w:p w14:paraId="745169A6" w14:textId="0F5460D5" w:rsidR="008A709F" w:rsidRPr="00A554A4" w:rsidRDefault="00B42D97" w:rsidP="00A554A4">
      <w:pPr>
        <w:numPr>
          <w:ilvl w:val="0"/>
          <w:numId w:val="3"/>
        </w:numPr>
        <w:tabs>
          <w:tab w:val="left" w:pos="995"/>
        </w:tabs>
        <w:jc w:val="both"/>
        <w:rPr>
          <w:rFonts w:asciiTheme="majorBidi" w:hAnsiTheme="majorBidi" w:cstheme="majorBidi"/>
          <w:color w:val="auto"/>
          <w:sz w:val="24"/>
        </w:rPr>
      </w:pPr>
      <w:r w:rsidRPr="003A7EE2">
        <w:rPr>
          <w:rFonts w:asciiTheme="majorBidi" w:hAnsiTheme="majorBidi" w:cstheme="majorBidi"/>
          <w:color w:val="auto"/>
          <w:sz w:val="24"/>
        </w:rPr>
        <w:t xml:space="preserve">Hussein Dmour, </w:t>
      </w:r>
      <w:r w:rsidRPr="003A7EE2">
        <w:rPr>
          <w:rFonts w:asciiTheme="majorBidi" w:hAnsiTheme="majorBidi" w:cstheme="majorBidi"/>
          <w:b/>
          <w:bCs/>
          <w:color w:val="auto"/>
          <w:sz w:val="24"/>
        </w:rPr>
        <w:t>Awad Dmour</w:t>
      </w:r>
      <w:r w:rsidRPr="003A7EE2">
        <w:rPr>
          <w:rFonts w:asciiTheme="majorBidi" w:hAnsiTheme="majorBidi" w:cstheme="majorBidi"/>
          <w:color w:val="auto"/>
          <w:sz w:val="24"/>
        </w:rPr>
        <w:t>, Bianca-Ana Gherasim, Raluca Haliga. Actualități privind patogenia, diagnosticul și tratamentul bolii Behcet. Congresul național al societății române de fiziopatologie cu participare internațională ,, Clasic și modern în fiziopatologie”. 7-10 mai 2015, Iași, România.</w:t>
      </w:r>
    </w:p>
    <w:sectPr w:rsidR="008A709F" w:rsidRPr="00A55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31C"/>
    <w:multiLevelType w:val="hybridMultilevel"/>
    <w:tmpl w:val="31B2D880"/>
    <w:lvl w:ilvl="0" w:tplc="FFFFFFFF">
      <w:start w:val="1"/>
      <w:numFmt w:val="decimal"/>
      <w:lvlText w:val="%1."/>
      <w:lvlJc w:val="left"/>
      <w:pPr>
        <w:ind w:left="1355" w:hanging="360"/>
      </w:pPr>
      <w:rPr>
        <w:rFonts w:ascii="Segoe UI" w:hAnsi="Segoe UI" w:cs="Segoe UI" w:hint="default"/>
        <w:color w:val="21212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" w15:restartNumberingAfterBreak="0">
    <w:nsid w:val="35151B7A"/>
    <w:multiLevelType w:val="hybridMultilevel"/>
    <w:tmpl w:val="2CB2FDD4"/>
    <w:lvl w:ilvl="0" w:tplc="9F028338">
      <w:start w:val="1"/>
      <w:numFmt w:val="decimal"/>
      <w:lvlText w:val="%1."/>
      <w:lvlJc w:val="left"/>
      <w:pPr>
        <w:ind w:left="135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26" w:hanging="360"/>
      </w:pPr>
    </w:lvl>
    <w:lvl w:ilvl="2" w:tplc="0409001B" w:tentative="1">
      <w:start w:val="1"/>
      <w:numFmt w:val="lowerRoman"/>
      <w:lvlText w:val="%3."/>
      <w:lvlJc w:val="right"/>
      <w:pPr>
        <w:ind w:left="2446" w:hanging="180"/>
      </w:pPr>
    </w:lvl>
    <w:lvl w:ilvl="3" w:tplc="0409000F" w:tentative="1">
      <w:start w:val="1"/>
      <w:numFmt w:val="decimal"/>
      <w:lvlText w:val="%4."/>
      <w:lvlJc w:val="left"/>
      <w:pPr>
        <w:ind w:left="3166" w:hanging="360"/>
      </w:pPr>
    </w:lvl>
    <w:lvl w:ilvl="4" w:tplc="04090019" w:tentative="1">
      <w:start w:val="1"/>
      <w:numFmt w:val="lowerLetter"/>
      <w:lvlText w:val="%5."/>
      <w:lvlJc w:val="left"/>
      <w:pPr>
        <w:ind w:left="3886" w:hanging="360"/>
      </w:pPr>
    </w:lvl>
    <w:lvl w:ilvl="5" w:tplc="0409001B" w:tentative="1">
      <w:start w:val="1"/>
      <w:numFmt w:val="lowerRoman"/>
      <w:lvlText w:val="%6."/>
      <w:lvlJc w:val="right"/>
      <w:pPr>
        <w:ind w:left="4606" w:hanging="180"/>
      </w:pPr>
    </w:lvl>
    <w:lvl w:ilvl="6" w:tplc="0409000F" w:tentative="1">
      <w:start w:val="1"/>
      <w:numFmt w:val="decimal"/>
      <w:lvlText w:val="%7."/>
      <w:lvlJc w:val="left"/>
      <w:pPr>
        <w:ind w:left="5326" w:hanging="360"/>
      </w:pPr>
    </w:lvl>
    <w:lvl w:ilvl="7" w:tplc="04090019" w:tentative="1">
      <w:start w:val="1"/>
      <w:numFmt w:val="lowerLetter"/>
      <w:lvlText w:val="%8."/>
      <w:lvlJc w:val="left"/>
      <w:pPr>
        <w:ind w:left="6046" w:hanging="360"/>
      </w:pPr>
    </w:lvl>
    <w:lvl w:ilvl="8" w:tplc="040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" w15:restartNumberingAfterBreak="0">
    <w:nsid w:val="3C292B8A"/>
    <w:multiLevelType w:val="hybridMultilevel"/>
    <w:tmpl w:val="CB425BFA"/>
    <w:lvl w:ilvl="0" w:tplc="0DA85392">
      <w:start w:val="1"/>
      <w:numFmt w:val="decimal"/>
      <w:lvlText w:val="%1."/>
      <w:lvlJc w:val="left"/>
      <w:pPr>
        <w:ind w:left="135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75" w:hanging="360"/>
      </w:pPr>
    </w:lvl>
    <w:lvl w:ilvl="2" w:tplc="0409001B" w:tentative="1">
      <w:start w:val="1"/>
      <w:numFmt w:val="lowerRoman"/>
      <w:lvlText w:val="%3."/>
      <w:lvlJc w:val="right"/>
      <w:pPr>
        <w:ind w:left="2795" w:hanging="180"/>
      </w:pPr>
    </w:lvl>
    <w:lvl w:ilvl="3" w:tplc="0409000F" w:tentative="1">
      <w:start w:val="1"/>
      <w:numFmt w:val="decimal"/>
      <w:lvlText w:val="%4."/>
      <w:lvlJc w:val="left"/>
      <w:pPr>
        <w:ind w:left="3515" w:hanging="360"/>
      </w:pPr>
    </w:lvl>
    <w:lvl w:ilvl="4" w:tplc="04090019" w:tentative="1">
      <w:start w:val="1"/>
      <w:numFmt w:val="lowerLetter"/>
      <w:lvlText w:val="%5."/>
      <w:lvlJc w:val="left"/>
      <w:pPr>
        <w:ind w:left="4235" w:hanging="360"/>
      </w:pPr>
    </w:lvl>
    <w:lvl w:ilvl="5" w:tplc="0409001B" w:tentative="1">
      <w:start w:val="1"/>
      <w:numFmt w:val="lowerRoman"/>
      <w:lvlText w:val="%6."/>
      <w:lvlJc w:val="right"/>
      <w:pPr>
        <w:ind w:left="4955" w:hanging="180"/>
      </w:pPr>
    </w:lvl>
    <w:lvl w:ilvl="6" w:tplc="0409000F" w:tentative="1">
      <w:start w:val="1"/>
      <w:numFmt w:val="decimal"/>
      <w:lvlText w:val="%7."/>
      <w:lvlJc w:val="left"/>
      <w:pPr>
        <w:ind w:left="5675" w:hanging="360"/>
      </w:pPr>
    </w:lvl>
    <w:lvl w:ilvl="7" w:tplc="04090019" w:tentative="1">
      <w:start w:val="1"/>
      <w:numFmt w:val="lowerLetter"/>
      <w:lvlText w:val="%8."/>
      <w:lvlJc w:val="left"/>
      <w:pPr>
        <w:ind w:left="6395" w:hanging="360"/>
      </w:pPr>
    </w:lvl>
    <w:lvl w:ilvl="8" w:tplc="040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" w15:restartNumberingAfterBreak="0">
    <w:nsid w:val="4C9A02A6"/>
    <w:multiLevelType w:val="hybridMultilevel"/>
    <w:tmpl w:val="735866DA"/>
    <w:lvl w:ilvl="0" w:tplc="2276655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13C3D98"/>
    <w:multiLevelType w:val="hybridMultilevel"/>
    <w:tmpl w:val="31B2D880"/>
    <w:lvl w:ilvl="0" w:tplc="BD3C59D2">
      <w:start w:val="1"/>
      <w:numFmt w:val="decimal"/>
      <w:lvlText w:val="%1."/>
      <w:lvlJc w:val="left"/>
      <w:pPr>
        <w:ind w:left="1355" w:hanging="360"/>
      </w:pPr>
      <w:rPr>
        <w:rFonts w:ascii="Segoe UI" w:hAnsi="Segoe UI" w:cs="Segoe UI" w:hint="default"/>
        <w:color w:val="21212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5" w:hanging="360"/>
      </w:pPr>
    </w:lvl>
    <w:lvl w:ilvl="2" w:tplc="0409001B" w:tentative="1">
      <w:start w:val="1"/>
      <w:numFmt w:val="lowerRoman"/>
      <w:lvlText w:val="%3."/>
      <w:lvlJc w:val="right"/>
      <w:pPr>
        <w:ind w:left="2795" w:hanging="180"/>
      </w:pPr>
    </w:lvl>
    <w:lvl w:ilvl="3" w:tplc="0409000F" w:tentative="1">
      <w:start w:val="1"/>
      <w:numFmt w:val="decimal"/>
      <w:lvlText w:val="%4."/>
      <w:lvlJc w:val="left"/>
      <w:pPr>
        <w:ind w:left="3515" w:hanging="360"/>
      </w:pPr>
    </w:lvl>
    <w:lvl w:ilvl="4" w:tplc="04090019" w:tentative="1">
      <w:start w:val="1"/>
      <w:numFmt w:val="lowerLetter"/>
      <w:lvlText w:val="%5."/>
      <w:lvlJc w:val="left"/>
      <w:pPr>
        <w:ind w:left="4235" w:hanging="360"/>
      </w:pPr>
    </w:lvl>
    <w:lvl w:ilvl="5" w:tplc="0409001B" w:tentative="1">
      <w:start w:val="1"/>
      <w:numFmt w:val="lowerRoman"/>
      <w:lvlText w:val="%6."/>
      <w:lvlJc w:val="right"/>
      <w:pPr>
        <w:ind w:left="4955" w:hanging="180"/>
      </w:pPr>
    </w:lvl>
    <w:lvl w:ilvl="6" w:tplc="0409000F" w:tentative="1">
      <w:start w:val="1"/>
      <w:numFmt w:val="decimal"/>
      <w:lvlText w:val="%7."/>
      <w:lvlJc w:val="left"/>
      <w:pPr>
        <w:ind w:left="5675" w:hanging="360"/>
      </w:pPr>
    </w:lvl>
    <w:lvl w:ilvl="7" w:tplc="04090019" w:tentative="1">
      <w:start w:val="1"/>
      <w:numFmt w:val="lowerLetter"/>
      <w:lvlText w:val="%8."/>
      <w:lvlJc w:val="left"/>
      <w:pPr>
        <w:ind w:left="6395" w:hanging="360"/>
      </w:pPr>
    </w:lvl>
    <w:lvl w:ilvl="8" w:tplc="040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5" w15:restartNumberingAfterBreak="0">
    <w:nsid w:val="6A435BBB"/>
    <w:multiLevelType w:val="hybridMultilevel"/>
    <w:tmpl w:val="31B2D880"/>
    <w:lvl w:ilvl="0" w:tplc="FFFFFFFF">
      <w:start w:val="1"/>
      <w:numFmt w:val="decimal"/>
      <w:lvlText w:val="%1."/>
      <w:lvlJc w:val="left"/>
      <w:pPr>
        <w:ind w:left="1355" w:hanging="360"/>
      </w:pPr>
      <w:rPr>
        <w:rFonts w:ascii="Segoe UI" w:hAnsi="Segoe UI" w:cs="Segoe UI" w:hint="default"/>
        <w:color w:val="21212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1377850152">
    <w:abstractNumId w:val="4"/>
  </w:num>
  <w:num w:numId="2" w16cid:durableId="1573544992">
    <w:abstractNumId w:val="0"/>
  </w:num>
  <w:num w:numId="3" w16cid:durableId="1884518738">
    <w:abstractNumId w:val="5"/>
  </w:num>
  <w:num w:numId="4" w16cid:durableId="1745373643">
    <w:abstractNumId w:val="1"/>
  </w:num>
  <w:num w:numId="5" w16cid:durableId="199902550">
    <w:abstractNumId w:val="2"/>
  </w:num>
  <w:num w:numId="6" w16cid:durableId="123300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E8"/>
    <w:rsid w:val="00063EED"/>
    <w:rsid w:val="00084D8C"/>
    <w:rsid w:val="003A7EE2"/>
    <w:rsid w:val="003C0CBE"/>
    <w:rsid w:val="00405376"/>
    <w:rsid w:val="00423DB0"/>
    <w:rsid w:val="004513A6"/>
    <w:rsid w:val="00482B2E"/>
    <w:rsid w:val="004A7317"/>
    <w:rsid w:val="004B20A8"/>
    <w:rsid w:val="004E5BE8"/>
    <w:rsid w:val="00586390"/>
    <w:rsid w:val="006E3374"/>
    <w:rsid w:val="00700EF0"/>
    <w:rsid w:val="0077348C"/>
    <w:rsid w:val="007827CC"/>
    <w:rsid w:val="00791A3A"/>
    <w:rsid w:val="00804781"/>
    <w:rsid w:val="008A709F"/>
    <w:rsid w:val="00912CB5"/>
    <w:rsid w:val="00924B25"/>
    <w:rsid w:val="00943C7A"/>
    <w:rsid w:val="00963C10"/>
    <w:rsid w:val="00A027A9"/>
    <w:rsid w:val="00A436F0"/>
    <w:rsid w:val="00A554A4"/>
    <w:rsid w:val="00AD5CFB"/>
    <w:rsid w:val="00AF11E5"/>
    <w:rsid w:val="00B42D97"/>
    <w:rsid w:val="00BC66E7"/>
    <w:rsid w:val="00BE4D55"/>
    <w:rsid w:val="00C66426"/>
    <w:rsid w:val="00EC1851"/>
    <w:rsid w:val="00E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C7BEE"/>
  <w15:chartTrackingRefBased/>
  <w15:docId w15:val="{42334843-4893-4B20-8D9B-08DE0175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51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B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B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B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B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B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B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BE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B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BE8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BE8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BE8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BE8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BE8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BE8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BE8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4E5B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BE8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BE8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4E5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BE8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4E5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B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B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BE8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4E5B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B42D97"/>
    <w:rPr>
      <w:color w:val="000080"/>
      <w:u w:val="single"/>
    </w:rPr>
  </w:style>
  <w:style w:type="paragraph" w:customStyle="1" w:styleId="ECVLeftHeading">
    <w:name w:val="_ECV_LeftHeading"/>
    <w:basedOn w:val="Normal"/>
    <w:rsid w:val="00B42D97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Text">
    <w:name w:val="_ECV_Text"/>
    <w:basedOn w:val="BodyText"/>
    <w:rsid w:val="00B42D97"/>
    <w:pPr>
      <w:spacing w:after="0" w:line="100" w:lineRule="atLeast"/>
    </w:pPr>
  </w:style>
  <w:style w:type="paragraph" w:styleId="BodyText">
    <w:name w:val="Body Text"/>
    <w:basedOn w:val="Normal"/>
    <w:link w:val="BodyTextChar"/>
    <w:uiPriority w:val="99"/>
    <w:semiHidden/>
    <w:unhideWhenUsed/>
    <w:rsid w:val="00B42D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2D97"/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047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0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life16020243" TargetMode="External"/><Relationship Id="rId13" Type="http://schemas.openxmlformats.org/officeDocument/2006/relationships/hyperlink" Target="https://doi.org/10.3390/life16050730" TargetMode="External"/><Relationship Id="rId18" Type="http://schemas.openxmlformats.org/officeDocument/2006/relationships/hyperlink" Target="https://doi.org/10.1097/MD.00000000000434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2551/MSJ.2024.04.19" TargetMode="External"/><Relationship Id="rId7" Type="http://schemas.openxmlformats.org/officeDocument/2006/relationships/hyperlink" Target="https://doi.org/10.3390/life14121684" TargetMode="External"/><Relationship Id="rId12" Type="http://schemas.openxmlformats.org/officeDocument/2006/relationships/hyperlink" Target="https://doi.org/10.3390/diagnostics16091273" TargetMode="External"/><Relationship Id="rId17" Type="http://schemas.openxmlformats.org/officeDocument/2006/relationships/hyperlink" Target="https://doi.org/10.3390/life150406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life15040628" TargetMode="External"/><Relationship Id="rId20" Type="http://schemas.openxmlformats.org/officeDocument/2006/relationships/hyperlink" Target="https://doi.org/10.3390/life160305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jpm14090943" TargetMode="External"/><Relationship Id="rId11" Type="http://schemas.openxmlformats.org/officeDocument/2006/relationships/hyperlink" Target="https://doi.org/10.3390/life16030437" TargetMode="External"/><Relationship Id="rId5" Type="http://schemas.openxmlformats.org/officeDocument/2006/relationships/hyperlink" Target="https://doi:10.3892/etm.2023.12256" TargetMode="External"/><Relationship Id="rId15" Type="http://schemas.openxmlformats.org/officeDocument/2006/relationships/hyperlink" Target="https://www.mdpi.com/2075-4418/13/13/227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3390/life16030370" TargetMode="External"/><Relationship Id="rId19" Type="http://schemas.openxmlformats.org/officeDocument/2006/relationships/hyperlink" Target="https://doi.org/10.3390/healthcare140405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life16020336" TargetMode="External"/><Relationship Id="rId14" Type="http://schemas.openxmlformats.org/officeDocument/2006/relationships/hyperlink" Target="https://doi.org/10.62610/RJOR.2024.4.16.8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awad dmour</dc:creator>
  <cp:keywords/>
  <dc:description/>
  <cp:lastModifiedBy>DMOUR Bianca</cp:lastModifiedBy>
  <cp:revision>61</cp:revision>
  <dcterms:created xsi:type="dcterms:W3CDTF">2026-05-24T13:30:00Z</dcterms:created>
  <dcterms:modified xsi:type="dcterms:W3CDTF">2026-05-26T20:42:00Z</dcterms:modified>
</cp:coreProperties>
</file>