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line="320" w:lineRule="atLeast"/>
        <w:jc w:val="both"/>
      </w:pPr>
      <w:r>
        <w:rPr>
          <w:rtl w:val="0"/>
        </w:rPr>
        <w:t xml:space="preserve">Nume Prenume: </w:t>
      </w:r>
      <w:r>
        <w:rPr>
          <w:rtl w:val="0"/>
          <w:lang w:val="en-US"/>
        </w:rPr>
        <w:t>Horhat Razvan Mihai</w:t>
      </w:r>
    </w:p>
    <w:p>
      <w:pPr>
        <w:pStyle w:val="Normal.0"/>
        <w:spacing w:line="320" w:lineRule="atLeast"/>
        <w:jc w:val="both"/>
      </w:pPr>
      <w:r>
        <w:rPr>
          <w:rtl w:val="0"/>
        </w:rPr>
        <w:t xml:space="preserve">Gradul didactic: </w:t>
      </w:r>
      <w:r>
        <w:rPr>
          <w:rtl w:val="0"/>
          <w:lang w:val="en-US"/>
        </w:rPr>
        <w:t>Asistent Universitar</w:t>
      </w:r>
    </w:p>
    <w:p>
      <w:pPr>
        <w:pStyle w:val="Normal.0"/>
        <w:spacing w:before="120" w:after="120"/>
      </w:pPr>
      <w:r>
        <w:rPr>
          <w:rtl w:val="0"/>
        </w:rPr>
        <w:t>Institu</w:t>
      </w:r>
      <w:r>
        <w:rPr>
          <w:rtl w:val="0"/>
        </w:rPr>
        <w:t>ț</w:t>
      </w:r>
      <w:r>
        <w:rPr>
          <w:rtl w:val="0"/>
        </w:rPr>
        <w:t xml:space="preserve">ia unde este titular: </w:t>
      </w:r>
      <w:r>
        <w:rPr>
          <w:rtl w:val="0"/>
          <w:lang w:val="en-US"/>
        </w:rPr>
        <w:t>UMF Victor Babes, Timisoara</w:t>
      </w:r>
    </w:p>
    <w:p>
      <w:pPr>
        <w:pStyle w:val="Normal.0"/>
        <w:spacing w:line="320" w:lineRule="atLeast"/>
        <w:jc w:val="both"/>
      </w:pPr>
      <w:r>
        <w:rPr>
          <w:rtl w:val="0"/>
        </w:rPr>
        <w:t>Facultatea:</w:t>
      </w:r>
      <w:r>
        <w:rPr>
          <w:rtl w:val="0"/>
          <w:lang w:val="en-US"/>
        </w:rPr>
        <w:t xml:space="preserve"> Medicina Dentara</w:t>
      </w:r>
    </w:p>
    <w:p>
      <w:pPr>
        <w:pStyle w:val="Normal.0"/>
        <w:spacing w:line="320" w:lineRule="atLeast"/>
        <w:jc w:val="both"/>
      </w:pPr>
      <w:r>
        <w:rPr>
          <w:rtl w:val="0"/>
        </w:rPr>
        <w:t>Departamentul:</w:t>
      </w:r>
      <w:r>
        <w:rPr>
          <w:rtl w:val="0"/>
          <w:lang w:val="en-US"/>
        </w:rPr>
        <w:t xml:space="preserve"> III</w:t>
      </w:r>
    </w:p>
    <w:p>
      <w:pPr>
        <w:pStyle w:val="Normal.0"/>
        <w:spacing w:line="320" w:lineRule="atLeast"/>
        <w:jc w:val="both"/>
      </w:pPr>
    </w:p>
    <w:p>
      <w:pPr>
        <w:pStyle w:val="Normal.0"/>
        <w:spacing w:line="320" w:lineRule="atLeast"/>
        <w:jc w:val="both"/>
      </w:pPr>
    </w:p>
    <w:p>
      <w:pPr>
        <w:pStyle w:val="Normal.0"/>
        <w:spacing w:line="320" w:lineRule="atLeast"/>
        <w:jc w:val="center"/>
        <w:rPr>
          <w:b w:val="1"/>
          <w:bCs w:val="1"/>
          <w:spacing w:val="100"/>
          <w:sz w:val="32"/>
          <w:szCs w:val="32"/>
        </w:rPr>
      </w:pPr>
      <w:r>
        <w:rPr>
          <w:b w:val="1"/>
          <w:bCs w:val="1"/>
          <w:spacing w:val="100"/>
          <w:sz w:val="32"/>
          <w:szCs w:val="32"/>
          <w:rtl w:val="0"/>
        </w:rPr>
        <w:t>LISTA</w:t>
      </w:r>
    </w:p>
    <w:p>
      <w:pPr>
        <w:pStyle w:val="Normal.0"/>
        <w:spacing w:line="320" w:lineRule="atLeast"/>
        <w:jc w:val="center"/>
        <w:rPr>
          <w:b w:val="1"/>
          <w:bCs w:val="1"/>
          <w:sz w:val="28"/>
          <w:szCs w:val="28"/>
        </w:rPr>
      </w:pPr>
      <w:r>
        <w:rPr>
          <w:b w:val="1"/>
          <w:bCs w:val="1"/>
          <w:sz w:val="28"/>
          <w:szCs w:val="28"/>
          <w:rtl w:val="0"/>
        </w:rPr>
        <w:t>lucr</w:t>
      </w:r>
      <w:r>
        <w:rPr>
          <w:b w:val="1"/>
          <w:bCs w:val="1"/>
          <w:sz w:val="28"/>
          <w:szCs w:val="28"/>
          <w:rtl w:val="0"/>
        </w:rPr>
        <w:t>ă</w:t>
      </w:r>
      <w:r>
        <w:rPr>
          <w:b w:val="1"/>
          <w:bCs w:val="1"/>
          <w:sz w:val="28"/>
          <w:szCs w:val="28"/>
          <w:rtl w:val="0"/>
        </w:rPr>
        <w:t xml:space="preserve">rilor </w:t>
      </w:r>
      <w:r>
        <w:rPr>
          <w:b w:val="1"/>
          <w:bCs w:val="1"/>
          <w:sz w:val="28"/>
          <w:szCs w:val="28"/>
          <w:rtl w:val="0"/>
        </w:rPr>
        <w:t>ş</w:t>
      </w:r>
      <w:r>
        <w:rPr>
          <w:b w:val="1"/>
          <w:bCs w:val="1"/>
          <w:sz w:val="28"/>
          <w:szCs w:val="28"/>
          <w:rtl w:val="0"/>
        </w:rPr>
        <w:t>tiin</w:t>
      </w:r>
      <w:r>
        <w:rPr>
          <w:b w:val="1"/>
          <w:bCs w:val="1"/>
          <w:sz w:val="28"/>
          <w:szCs w:val="28"/>
          <w:rtl w:val="0"/>
        </w:rPr>
        <w:t>ţ</w:t>
      </w:r>
      <w:r>
        <w:rPr>
          <w:b w:val="1"/>
          <w:bCs w:val="1"/>
          <w:sz w:val="28"/>
          <w:szCs w:val="28"/>
          <w:rtl w:val="0"/>
        </w:rPr>
        <w:t>ifice</w:t>
      </w:r>
    </w:p>
    <w:p>
      <w:pPr>
        <w:pStyle w:val="Normal.0"/>
        <w:spacing w:line="320" w:lineRule="atLeast"/>
        <w:jc w:val="center"/>
        <w:rPr>
          <w:b w:val="1"/>
          <w:bCs w:val="1"/>
          <w:sz w:val="28"/>
          <w:szCs w:val="28"/>
        </w:rPr>
      </w:pPr>
    </w:p>
    <w:p>
      <w:pPr>
        <w:pStyle w:val="Normal.0"/>
        <w:spacing w:line="320" w:lineRule="atLeast"/>
        <w:jc w:val="center"/>
        <w:rPr>
          <w:spacing w:val="0"/>
        </w:rPr>
      </w:pPr>
      <w:r>
        <w:rPr>
          <w:rtl w:val="0"/>
          <w:lang w:val="en-US"/>
        </w:rPr>
        <w:t xml:space="preserve">  </w:t>
      </w:r>
      <w:r>
        <w:rPr>
          <w:spacing w:val="0"/>
          <w:rtl w:val="0"/>
        </w:rPr>
        <w:t>Lucr</w:t>
      </w:r>
      <w:r>
        <w:rPr>
          <w:spacing w:val="0"/>
          <w:rtl w:val="0"/>
        </w:rPr>
        <w:t>ă</w:t>
      </w:r>
      <w:r>
        <w:rPr>
          <w:spacing w:val="0"/>
          <w:rtl w:val="0"/>
        </w:rPr>
        <w:t xml:space="preserve">ri indexate ISI/BDI </w:t>
      </w:r>
      <w:r>
        <w:rPr>
          <w:rtl w:val="0"/>
        </w:rPr>
        <w:t xml:space="preserve">publicate </w:t>
      </w:r>
      <w:r>
        <w:rPr>
          <w:rtl w:val="0"/>
        </w:rPr>
        <w:t>î</w:t>
      </w:r>
      <w:r>
        <w:rPr>
          <w:rtl w:val="0"/>
        </w:rPr>
        <w:t xml:space="preserve">n ultimii 10 ani </w:t>
      </w:r>
    </w:p>
    <w:p>
      <w:pPr>
        <w:pStyle w:val="List Paragraph1"/>
        <w:tabs>
          <w:tab w:val="left" w:pos="399"/>
        </w:tabs>
        <w:spacing w:line="320" w:lineRule="atLeast"/>
        <w:ind w:left="0" w:firstLine="0"/>
        <w:jc w:val="both"/>
      </w:pPr>
      <w:r>
        <w:rPr>
          <w:rtl w:val="0"/>
        </w:rPr>
        <w:t xml:space="preserve">    </w:t>
      </w:r>
    </w:p>
    <w:p>
      <w:pPr>
        <w:pStyle w:val="List Paragraph1"/>
        <w:numPr>
          <w:ilvl w:val="0"/>
          <w:numId w:val="2"/>
        </w:numPr>
        <w:suppressAutoHyphens w:val="1"/>
        <w:ind w:right="113"/>
        <w:rPr>
          <w:rFonts w:ascii="Arial Narrow" w:hAnsi="Arial Narrow"/>
          <w:sz w:val="20"/>
          <w:szCs w:val="20"/>
        </w:rPr>
      </w:pPr>
      <w:r>
        <w:rPr>
          <w:rFonts w:ascii="Arial Narrow" w:hAnsi="Arial Narrow"/>
          <w:b w:val="1"/>
          <w:bCs w:val="1"/>
          <w:sz w:val="20"/>
          <w:szCs w:val="20"/>
          <w:shd w:val="nil" w:color="auto" w:fill="auto"/>
          <w:rtl w:val="0"/>
        </w:rPr>
        <w:t>Horhat R.</w:t>
      </w:r>
      <w:r>
        <w:rPr>
          <w:rFonts w:ascii="Arial Narrow" w:hAnsi="Arial Narrow"/>
          <w:sz w:val="20"/>
          <w:szCs w:val="20"/>
          <w:shd w:val="nil" w:color="auto" w:fill="auto"/>
          <w:rtl w:val="0"/>
        </w:rPr>
        <w:t xml:space="preserve"> Alcohol consumption in young adults. General review, Revista de Igienna si Sanatate publica- Journal of Hygine and Public Health, vol. 64, nr1/2014, 20-26, CNCSIS B, Referinta bibliografica 197</w:t>
      </w:r>
    </w:p>
    <w:p>
      <w:pPr>
        <w:pStyle w:val="List Paragraph1"/>
        <w:numPr>
          <w:ilvl w:val="0"/>
          <w:numId w:val="2"/>
        </w:numPr>
        <w:suppressAutoHyphens w:val="1"/>
        <w:bidi w:val="0"/>
        <w:ind w:right="113"/>
        <w:jc w:val="left"/>
        <w:rPr>
          <w:rFonts w:ascii="Arial Narrow" w:hAnsi="Arial Narrow"/>
          <w:sz w:val="20"/>
          <w:szCs w:val="20"/>
          <w:rtl w:val="0"/>
        </w:rPr>
      </w:pPr>
      <w:r>
        <w:rPr>
          <w:rFonts w:ascii="Arial Narrow" w:hAnsi="Arial Narrow"/>
          <w:sz w:val="20"/>
          <w:szCs w:val="20"/>
          <w:shd w:val="nil" w:color="auto" w:fill="auto"/>
          <w:rtl w:val="0"/>
        </w:rPr>
        <w:t xml:space="preserve">Florin G. Horhat, Faut Gondogdu, Laurentiu David, Eugen Boia, Laurentiu Pirtea, </w:t>
      </w:r>
      <w:r>
        <w:rPr>
          <w:rFonts w:ascii="Arial Narrow" w:hAnsi="Arial Narrow"/>
          <w:b w:val="1"/>
          <w:bCs w:val="1"/>
          <w:sz w:val="20"/>
          <w:szCs w:val="20"/>
          <w:shd w:val="nil" w:color="auto" w:fill="auto"/>
          <w:rtl w:val="0"/>
        </w:rPr>
        <w:t xml:space="preserve">Razvan Horhat, </w:t>
      </w:r>
      <w:r>
        <w:rPr>
          <w:rFonts w:ascii="Arial Narrow" w:hAnsi="Arial Narrow"/>
          <w:sz w:val="20"/>
          <w:szCs w:val="20"/>
          <w:shd w:val="nil" w:color="auto" w:fill="auto"/>
          <w:rtl w:val="0"/>
        </w:rPr>
        <w:t>Alexandru Cucui-Cozma, Ioana Ciuca, Mircea Diaconu, Razvan Nitu, Monica Licker, Delia Horhat, Alexandru Rogobete, Marius moise, Calin Tataru , Early Evluation and Monitoring of Critical patients with Acute Respiratory Distress Syndrome (ARDS) Using Specific Genetic Polymorphisms; Review, Biochemical Genetics, vol 55, Online 9/01/2017, DOI; 10.1007/s10528-016-9787-o, p1-8, SSN; 0006-2918 (print), 1573-4927 (online), IF 1.54</w:t>
      </w:r>
    </w:p>
    <w:p>
      <w:pPr>
        <w:pStyle w:val="List Paragraph1"/>
        <w:numPr>
          <w:ilvl w:val="0"/>
          <w:numId w:val="2"/>
        </w:numPr>
        <w:suppressAutoHyphens w:val="1"/>
        <w:bidi w:val="0"/>
        <w:ind w:right="113"/>
        <w:jc w:val="left"/>
        <w:rPr>
          <w:rFonts w:ascii="Arial Narrow" w:hAnsi="Arial Narrow"/>
          <w:sz w:val="20"/>
          <w:szCs w:val="20"/>
          <w:rtl w:val="0"/>
        </w:rPr>
      </w:pPr>
      <w:r>
        <w:rPr>
          <w:rFonts w:ascii="Arial Narrow" w:hAnsi="Arial Narrow"/>
          <w:sz w:val="20"/>
          <w:szCs w:val="20"/>
          <w:shd w:val="nil" w:color="auto" w:fill="auto"/>
          <w:rtl w:val="0"/>
        </w:rPr>
        <w:t xml:space="preserve">David VL, Ercisil MF, Rogobete AF, Boia ES, </w:t>
      </w:r>
      <w:r>
        <w:rPr>
          <w:rFonts w:ascii="Arial Narrow" w:hAnsi="Arial Narrow"/>
          <w:b w:val="1"/>
          <w:bCs w:val="1"/>
          <w:sz w:val="20"/>
          <w:szCs w:val="20"/>
          <w:shd w:val="nil" w:color="auto" w:fill="auto"/>
          <w:rtl w:val="0"/>
        </w:rPr>
        <w:t>Horhat RM</w:t>
      </w:r>
      <w:r>
        <w:rPr>
          <w:rFonts w:ascii="Arial Narrow" w:hAnsi="Arial Narrow"/>
          <w:sz w:val="20"/>
          <w:szCs w:val="20"/>
          <w:shd w:val="nil" w:color="auto" w:fill="auto"/>
          <w:rtl w:val="0"/>
        </w:rPr>
        <w:t>, Nitu R, Diaconu MM, Pirtea L, Ciuca I, Horhat ID, Horhat FG, Licker M, Popovici SM, Tanasescu S, Tataru C., Early Prediction of Sepsis Incidents in Critically II Patients Using Specific Genetic Polymorphisms,Biochemical Genetics, vol.55, Issue 3, pag 193-203, Doi: 10.1007/s0528-016-9785-2, 06/2017, IF 1.54</w:t>
      </w:r>
    </w:p>
    <w:p>
      <w:pPr>
        <w:pStyle w:val="List Paragraph1"/>
        <w:numPr>
          <w:ilvl w:val="0"/>
          <w:numId w:val="2"/>
        </w:numPr>
        <w:suppressAutoHyphens w:val="1"/>
        <w:bidi w:val="0"/>
        <w:ind w:right="113"/>
        <w:jc w:val="left"/>
        <w:rPr>
          <w:rFonts w:ascii="Arial Narrow" w:hAnsi="Arial Narrow"/>
          <w:sz w:val="20"/>
          <w:szCs w:val="20"/>
          <w:rtl w:val="0"/>
        </w:rPr>
      </w:pPr>
      <w:r>
        <w:rPr>
          <w:rFonts w:ascii="Arial Narrow" w:hAnsi="Arial Narrow"/>
          <w:sz w:val="20"/>
          <w:szCs w:val="20"/>
          <w:shd w:val="nil" w:color="auto" w:fill="auto"/>
          <w:rtl w:val="0"/>
        </w:rPr>
        <w:t xml:space="preserve">Stefanescu H, Poenaru M, Marin HA, Balica N, Munteanu D, Licker M, </w:t>
      </w:r>
      <w:r>
        <w:rPr>
          <w:rFonts w:ascii="Arial Narrow" w:hAnsi="Arial Narrow"/>
          <w:b w:val="1"/>
          <w:bCs w:val="1"/>
          <w:sz w:val="20"/>
          <w:szCs w:val="20"/>
          <w:shd w:val="nil" w:color="auto" w:fill="auto"/>
          <w:rtl w:val="0"/>
        </w:rPr>
        <w:t xml:space="preserve">Horhat R, </w:t>
      </w:r>
      <w:r>
        <w:rPr>
          <w:rFonts w:ascii="Arial Narrow" w:hAnsi="Arial Narrow"/>
          <w:sz w:val="20"/>
          <w:szCs w:val="20"/>
          <w:shd w:val="nil" w:color="auto" w:fill="auto"/>
          <w:rtl w:val="0"/>
        </w:rPr>
        <w:t>Chioreanu A, Horhat ID, Streptococcus Pneumoniea Strains isolated from patients with Acute Otis Media, national ent, Neck and Head Surgery Conference, Proceeding Paper, pag 360-363, 07/2017.</w:t>
      </w:r>
    </w:p>
    <w:p>
      <w:pPr>
        <w:pStyle w:val="List Paragraph1"/>
        <w:numPr>
          <w:ilvl w:val="0"/>
          <w:numId w:val="2"/>
        </w:numPr>
        <w:suppressAutoHyphens w:val="1"/>
        <w:bidi w:val="0"/>
        <w:ind w:right="113"/>
        <w:jc w:val="left"/>
        <w:rPr>
          <w:rFonts w:ascii="Arial Narrow" w:hAnsi="Arial Narrow"/>
          <w:sz w:val="20"/>
          <w:szCs w:val="20"/>
          <w:rtl w:val="0"/>
        </w:rPr>
      </w:pPr>
      <w:r>
        <w:rPr>
          <w:rFonts w:ascii="Arial Narrow" w:hAnsi="Arial Narrow"/>
          <w:sz w:val="20"/>
          <w:szCs w:val="20"/>
          <w:shd w:val="nil" w:color="auto" w:fill="auto"/>
          <w:rtl w:val="0"/>
        </w:rPr>
        <w:t xml:space="preserve">Pantea C, </w:t>
      </w:r>
      <w:r>
        <w:rPr>
          <w:rFonts w:ascii="Arial Narrow" w:hAnsi="Arial Narrow"/>
          <w:b w:val="1"/>
          <w:bCs w:val="1"/>
          <w:sz w:val="20"/>
          <w:szCs w:val="20"/>
          <w:shd w:val="nil" w:color="auto" w:fill="auto"/>
          <w:rtl w:val="0"/>
        </w:rPr>
        <w:t>Horhat R</w:t>
      </w:r>
      <w:r>
        <w:rPr>
          <w:rFonts w:ascii="Arial Narrow" w:hAnsi="Arial Narrow"/>
          <w:sz w:val="20"/>
          <w:szCs w:val="20"/>
          <w:shd w:val="nil" w:color="auto" w:fill="auto"/>
          <w:rtl w:val="0"/>
        </w:rPr>
        <w:t>, Putnoky S, Suciu O, Tuta-Sas I, Bacean C, Banu A, Bagiu R, Fira-Mladinescu c, Vlaicu b. Risk behaviours for traffic accidents in 18-20 years young people travelling with drunk drivers fo Timis county, Romania, Revista de Chimie Bucuresti, 2018, 69,3, 703-706, ISI, IF 1.23</w:t>
      </w:r>
    </w:p>
    <w:p>
      <w:pPr>
        <w:pStyle w:val="List Paragraph1"/>
        <w:numPr>
          <w:ilvl w:val="0"/>
          <w:numId w:val="2"/>
        </w:numPr>
        <w:suppressAutoHyphens w:val="1"/>
        <w:bidi w:val="0"/>
        <w:ind w:right="113"/>
        <w:jc w:val="left"/>
        <w:rPr>
          <w:rFonts w:ascii="Arial Narrow" w:hAnsi="Arial Narrow"/>
          <w:sz w:val="20"/>
          <w:szCs w:val="20"/>
          <w:rtl w:val="0"/>
        </w:rPr>
      </w:pPr>
      <w:r>
        <w:rPr>
          <w:rFonts w:ascii="Arial Narrow" w:hAnsi="Arial Narrow"/>
          <w:b w:val="1"/>
          <w:bCs w:val="1"/>
          <w:sz w:val="20"/>
          <w:szCs w:val="20"/>
          <w:shd w:val="nil" w:color="auto" w:fill="auto"/>
          <w:rtl w:val="0"/>
        </w:rPr>
        <w:t>Horhat R</w:t>
      </w:r>
      <w:r>
        <w:rPr>
          <w:rFonts w:ascii="Arial Narrow" w:hAnsi="Arial Narrow"/>
          <w:sz w:val="20"/>
          <w:szCs w:val="20"/>
          <w:shd w:val="nil" w:color="auto" w:fill="auto"/>
          <w:rtl w:val="0"/>
        </w:rPr>
        <w:t>, Vlaicu B, Bagiu R, Putnoky S, Bagiu I, Horhat ID, Szuhanek C, Sinescu C, Negrutiu ML, Nica L,  Aten-year time laps, regarding drug consumption in the western part of Romania, Revista de Chimie Bucuresti, 2018, 6, 1371-1375, ISI, IF 1.23</w:t>
      </w:r>
    </w:p>
    <w:p>
      <w:pPr>
        <w:pStyle w:val="List Paragraph1"/>
        <w:numPr>
          <w:ilvl w:val="0"/>
          <w:numId w:val="2"/>
        </w:numPr>
        <w:suppressAutoHyphens w:val="1"/>
        <w:bidi w:val="0"/>
        <w:ind w:right="113"/>
        <w:jc w:val="left"/>
        <w:rPr>
          <w:rFonts w:ascii="Arial Narrow" w:hAnsi="Arial Narrow"/>
          <w:sz w:val="20"/>
          <w:szCs w:val="20"/>
          <w:rtl w:val="0"/>
        </w:rPr>
      </w:pPr>
      <w:r>
        <w:rPr>
          <w:rFonts w:ascii="Arial Narrow" w:hAnsi="Arial Narrow"/>
          <w:b w:val="1"/>
          <w:bCs w:val="1"/>
          <w:sz w:val="20"/>
          <w:szCs w:val="20"/>
          <w:shd w:val="nil" w:color="auto" w:fill="auto"/>
          <w:rtl w:val="0"/>
        </w:rPr>
        <w:t xml:space="preserve">Horhat R, </w:t>
      </w:r>
      <w:r>
        <w:rPr>
          <w:rFonts w:ascii="Arial Narrow" w:hAnsi="Arial Narrow"/>
          <w:sz w:val="20"/>
          <w:szCs w:val="20"/>
          <w:shd w:val="nil" w:color="auto" w:fill="auto"/>
          <w:rtl w:val="0"/>
        </w:rPr>
        <w:t>Bagiu RV, Vlaicu B, Hutan D, Horhat ID, Nica L, Iacob D, Arghirescu S, Bagiu IC, Time trends: A ten year comparison in medical school, Revista de chimie Bucuresti, 2019. 3, 1009-1013, ISI, IF 1.41</w:t>
      </w:r>
    </w:p>
    <w:p>
      <w:pPr>
        <w:pStyle w:val="List Paragraph1"/>
        <w:numPr>
          <w:ilvl w:val="0"/>
          <w:numId w:val="2"/>
        </w:numPr>
        <w:suppressAutoHyphens w:val="1"/>
        <w:bidi w:val="0"/>
        <w:ind w:right="113"/>
        <w:jc w:val="left"/>
        <w:rPr>
          <w:rFonts w:ascii="Arial Narrow" w:hAnsi="Arial Narrow"/>
          <w:sz w:val="20"/>
          <w:szCs w:val="20"/>
          <w:rtl w:val="0"/>
          <w:lang w:val="pt-PT"/>
        </w:rPr>
      </w:pPr>
      <w:r>
        <w:rPr>
          <w:rFonts w:ascii="Arial Narrow" w:hAnsi="Arial Narrow"/>
          <w:sz w:val="20"/>
          <w:szCs w:val="20"/>
          <w:rtl w:val="0"/>
          <w:lang w:val="pt-PT"/>
        </w:rPr>
        <w:t xml:space="preserve">Cirligeriu L, Nica L, Puscu-Boscornea S, </w:t>
      </w:r>
      <w:r>
        <w:rPr>
          <w:rFonts w:ascii="Arial Narrow" w:hAnsi="Arial Narrow"/>
          <w:b w:val="1"/>
          <w:bCs w:val="1"/>
          <w:sz w:val="20"/>
          <w:szCs w:val="20"/>
          <w:rtl w:val="0"/>
          <w:lang w:val="de-DE"/>
        </w:rPr>
        <w:t>Horhat R,</w:t>
      </w:r>
      <w:r>
        <w:rPr>
          <w:rFonts w:ascii="Arial Narrow" w:hAnsi="Arial Narrow"/>
          <w:sz w:val="20"/>
          <w:szCs w:val="20"/>
          <w:rtl w:val="0"/>
          <w:lang w:val="en-US"/>
        </w:rPr>
        <w:t xml:space="preserve"> Pancitti S, Stoia D, Marinesc A, Mechanical Strenght Evaluation Of Two Single File Systems: Reciproc Versus Reciproc Blue, Romanian Journal of Oral Rehabilitation, 2020, 9, 2, ISI, FI=0</w:t>
      </w:r>
      <w:r>
        <w:rPr>
          <w:rFonts w:ascii="Arial Narrow" w:hAnsi="Arial Narrow"/>
          <w:sz w:val="20"/>
          <w:szCs w:val="20"/>
          <w:rtl w:val="0"/>
        </w:rPr>
        <w:t xml:space="preserve"> </w:t>
      </w:r>
    </w:p>
    <w:p>
      <w:pPr>
        <w:pStyle w:val="List Paragraph1"/>
        <w:numPr>
          <w:ilvl w:val="0"/>
          <w:numId w:val="3"/>
        </w:numPr>
        <w:suppressAutoHyphens w:val="1"/>
        <w:bidi w:val="0"/>
        <w:ind w:right="113"/>
        <w:jc w:val="left"/>
        <w:rPr>
          <w:rFonts w:ascii="Arial Narrow" w:hAnsi="Arial Narrow"/>
          <w:sz w:val="20"/>
          <w:szCs w:val="20"/>
          <w:rtl w:val="0"/>
        </w:rPr>
      </w:pPr>
      <w:r>
        <w:rPr>
          <w:rFonts w:ascii="Arial Narrow" w:hAnsi="Arial Narrow"/>
          <w:sz w:val="20"/>
          <w:szCs w:val="20"/>
          <w:rtl w:val="0"/>
        </w:rPr>
        <w:t xml:space="preserve">Marinescu A, Cirligeriu L, Boscornea-Puscu S, </w:t>
      </w:r>
      <w:r>
        <w:rPr>
          <w:rFonts w:ascii="Arial Narrow" w:hAnsi="Arial Narrow"/>
          <w:b w:val="1"/>
          <w:bCs w:val="1"/>
          <w:sz w:val="20"/>
          <w:szCs w:val="20"/>
          <w:rtl w:val="0"/>
        </w:rPr>
        <w:t>Horhat R</w:t>
      </w:r>
      <w:r>
        <w:rPr>
          <w:rFonts w:ascii="Arial Narrow" w:hAnsi="Arial Narrow"/>
          <w:sz w:val="20"/>
          <w:szCs w:val="20"/>
          <w:rtl w:val="0"/>
          <w:lang w:val="en-US"/>
        </w:rPr>
        <w:t>, Sgia S, Stoia D, Nica L. Fracture Strenght Evaluation Of Teeth With Different Designs Of Endodontic Access Cavities, Romanian Journal of Oral Rehabilitation, 2020, 9, 2, ISI, FI=0</w:t>
      </w:r>
    </w:p>
    <w:p>
      <w:pPr>
        <w:pStyle w:val="List Paragraph1"/>
        <w:numPr>
          <w:ilvl w:val="0"/>
          <w:numId w:val="3"/>
        </w:numPr>
        <w:suppressAutoHyphens w:val="1"/>
        <w:bidi w:val="0"/>
        <w:ind w:right="113"/>
        <w:jc w:val="left"/>
        <w:rPr>
          <w:rFonts w:ascii="Arial Narrow" w:hAnsi="Arial Narrow"/>
          <w:sz w:val="20"/>
          <w:szCs w:val="20"/>
          <w:rtl w:val="0"/>
          <w:lang w:val="en-US"/>
        </w:rPr>
      </w:pPr>
      <w:r>
        <w:rPr>
          <w:rFonts w:ascii="Arial Narrow" w:hAnsi="Arial Narrow"/>
          <w:sz w:val="20"/>
          <w:szCs w:val="20"/>
          <w:rtl w:val="0"/>
          <w:lang w:val="en-US"/>
        </w:rPr>
        <w:t>Boscornea-Pu</w:t>
      </w:r>
      <w:r>
        <w:rPr>
          <w:rFonts w:ascii="Arial Narrow" w:hAnsi="Arial Narrow" w:hint="default"/>
          <w:sz w:val="20"/>
          <w:szCs w:val="20"/>
          <w:rtl w:val="0"/>
        </w:rPr>
        <w:t>ș</w:t>
      </w:r>
      <w:r>
        <w:rPr>
          <w:rFonts w:ascii="Arial Narrow" w:hAnsi="Arial Narrow"/>
          <w:sz w:val="20"/>
          <w:szCs w:val="20"/>
          <w:rtl w:val="0"/>
        </w:rPr>
        <w:t xml:space="preserve">cu, A.-S.; Orel, L.; Velea-Barta, O.-A.; </w:t>
      </w:r>
      <w:r>
        <w:rPr>
          <w:rFonts w:ascii="Arial Narrow" w:hAnsi="Arial Narrow"/>
          <w:b w:val="1"/>
          <w:bCs w:val="1"/>
          <w:sz w:val="20"/>
          <w:szCs w:val="20"/>
          <w:rtl w:val="0"/>
        </w:rPr>
        <w:t>Horhat, R.M</w:t>
      </w:r>
      <w:r>
        <w:rPr>
          <w:rFonts w:ascii="Arial Narrow" w:hAnsi="Arial Narrow"/>
          <w:sz w:val="20"/>
          <w:szCs w:val="20"/>
          <w:rtl w:val="0"/>
        </w:rPr>
        <w:t>.; Negru</w:t>
      </w:r>
      <w:r>
        <w:rPr>
          <w:rFonts w:ascii="Arial Narrow" w:hAnsi="Arial Narrow" w:hint="default"/>
          <w:sz w:val="20"/>
          <w:szCs w:val="20"/>
          <w:rtl w:val="0"/>
        </w:rPr>
        <w:t>ț</w:t>
      </w:r>
      <w:r>
        <w:rPr>
          <w:rFonts w:ascii="Arial Narrow" w:hAnsi="Arial Narrow"/>
          <w:sz w:val="20"/>
          <w:szCs w:val="20"/>
          <w:rtl w:val="0"/>
        </w:rPr>
        <w:t>iu, M.-L.; Nica, L.M.; Duma, V.-F.; Stoia, D.I.; Opri</w:t>
      </w:r>
      <w:r>
        <w:rPr>
          <w:rFonts w:ascii="Arial Narrow" w:hAnsi="Arial Narrow" w:hint="default"/>
          <w:sz w:val="20"/>
          <w:szCs w:val="20"/>
          <w:rtl w:val="0"/>
        </w:rPr>
        <w:t>ș</w:t>
      </w:r>
      <w:r>
        <w:rPr>
          <w:rFonts w:ascii="Arial Narrow" w:hAnsi="Arial Narrow"/>
          <w:sz w:val="20"/>
          <w:szCs w:val="20"/>
          <w:rtl w:val="0"/>
          <w:lang w:val="en-US"/>
        </w:rPr>
        <w:t xml:space="preserve">, C.; Sinescu, C. Experimental Study of the Effects of Torsional Loading on Three Types of Nickel-Titanium Endodontic Instruments. </w:t>
      </w:r>
      <w:r>
        <w:rPr>
          <w:rFonts w:ascii="Arial Narrow" w:hAnsi="Arial Narrow"/>
          <w:i w:val="1"/>
          <w:iCs w:val="1"/>
          <w:sz w:val="20"/>
          <w:szCs w:val="20"/>
          <w:rtl w:val="0"/>
          <w:lang w:val="it-IT"/>
        </w:rPr>
        <w:t>Appl. Sci.</w:t>
      </w:r>
      <w:r>
        <w:rPr>
          <w:rFonts w:ascii="Arial Narrow" w:hAnsi="Arial Narrow"/>
          <w:sz w:val="20"/>
          <w:szCs w:val="20"/>
          <w:rtl w:val="0"/>
        </w:rPr>
        <w:t xml:space="preserve"> </w:t>
      </w:r>
      <w:r>
        <w:rPr>
          <w:rFonts w:ascii="Arial Narrow" w:hAnsi="Arial Narrow"/>
          <w:b w:val="1"/>
          <w:bCs w:val="1"/>
          <w:sz w:val="20"/>
          <w:szCs w:val="20"/>
          <w:rtl w:val="0"/>
          <w:lang w:val="en-US"/>
        </w:rPr>
        <w:t>2021</w:t>
      </w:r>
      <w:r>
        <w:rPr>
          <w:rFonts w:ascii="Arial Narrow" w:hAnsi="Arial Narrow"/>
          <w:sz w:val="20"/>
          <w:szCs w:val="20"/>
          <w:rtl w:val="0"/>
        </w:rPr>
        <w:t xml:space="preserve">, </w:t>
      </w:r>
      <w:r>
        <w:rPr>
          <w:rFonts w:ascii="Arial Narrow" w:hAnsi="Arial Narrow"/>
          <w:i w:val="1"/>
          <w:iCs w:val="1"/>
          <w:sz w:val="20"/>
          <w:szCs w:val="20"/>
          <w:rtl w:val="0"/>
        </w:rPr>
        <w:t>11</w:t>
      </w:r>
      <w:r>
        <w:rPr>
          <w:rFonts w:ascii="Arial Narrow" w:hAnsi="Arial Narrow"/>
          <w:sz w:val="20"/>
          <w:szCs w:val="20"/>
          <w:rtl w:val="0"/>
        </w:rPr>
        <w:t xml:space="preserve">, 7224. </w:t>
      </w:r>
      <w:r>
        <w:rPr>
          <w:rStyle w:val="Hyperlink.0"/>
          <w:rFonts w:ascii="Arial Narrow" w:cs="Arial Narrow" w:hAnsi="Arial Narrow" w:eastAsia="Arial Narrow"/>
          <w:sz w:val="20"/>
          <w:szCs w:val="20"/>
          <w:u w:val="single"/>
          <w:lang w:val="en-US"/>
        </w:rPr>
        <w:fldChar w:fldCharType="begin" w:fldLock="0"/>
      </w:r>
      <w:r>
        <w:rPr>
          <w:rStyle w:val="Hyperlink.0"/>
          <w:rFonts w:ascii="Arial Narrow" w:cs="Arial Narrow" w:hAnsi="Arial Narrow" w:eastAsia="Arial Narrow"/>
          <w:sz w:val="20"/>
          <w:szCs w:val="20"/>
          <w:u w:val="single"/>
          <w:lang w:val="en-US"/>
        </w:rPr>
        <w:instrText xml:space="preserve"> HYPERLINK "https://doi.org/10.3390/app11167224"</w:instrText>
      </w:r>
      <w:r>
        <w:rPr>
          <w:rStyle w:val="Hyperlink.0"/>
          <w:rFonts w:ascii="Arial Narrow" w:cs="Arial Narrow" w:hAnsi="Arial Narrow" w:eastAsia="Arial Narrow"/>
          <w:sz w:val="20"/>
          <w:szCs w:val="20"/>
          <w:u w:val="single"/>
          <w:lang w:val="en-US"/>
        </w:rPr>
        <w:fldChar w:fldCharType="separate" w:fldLock="0"/>
      </w:r>
      <w:r>
        <w:rPr>
          <w:rStyle w:val="Hyperlink.0"/>
          <w:rFonts w:ascii="Arial Narrow" w:hAnsi="Arial Narrow"/>
          <w:sz w:val="20"/>
          <w:szCs w:val="20"/>
          <w:u w:val="single"/>
          <w:rtl w:val="0"/>
          <w:lang w:val="en-US"/>
        </w:rPr>
        <w:t>https://doi.org/10.3390/app11167224</w:t>
      </w:r>
      <w:r>
        <w:rPr>
          <w:rFonts w:ascii="Arial Narrow" w:cs="Arial Narrow" w:hAnsi="Arial Narrow" w:eastAsia="Arial Narrow"/>
          <w:sz w:val="20"/>
          <w:szCs w:val="20"/>
        </w:rPr>
        <w:fldChar w:fldCharType="end" w:fldLock="0"/>
      </w:r>
      <w:r>
        <w:rPr>
          <w:rStyle w:val="None"/>
          <w:rFonts w:ascii="Arial Narrow" w:hAnsi="Arial Narrow"/>
          <w:sz w:val="20"/>
          <w:szCs w:val="20"/>
          <w:rtl w:val="0"/>
          <w:lang w:val="en-US"/>
        </w:rPr>
        <w:t xml:space="preserve"> </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Orel L, Velea-Barta OA, Nica LM, Boscornea-Pu</w:t>
      </w:r>
      <w:r>
        <w:rPr>
          <w:rFonts w:ascii="Arial Narrow" w:hAnsi="Arial Narrow" w:hint="default"/>
          <w:sz w:val="20"/>
          <w:szCs w:val="20"/>
          <w:rtl w:val="0"/>
        </w:rPr>
        <w:t>ș</w:t>
      </w:r>
      <w:r>
        <w:rPr>
          <w:rFonts w:ascii="Arial Narrow" w:hAnsi="Arial Narrow"/>
          <w:sz w:val="20"/>
          <w:szCs w:val="20"/>
          <w:rtl w:val="0"/>
        </w:rPr>
        <w:t xml:space="preserve">cu AS, </w:t>
      </w:r>
      <w:r>
        <w:rPr>
          <w:rStyle w:val="None"/>
          <w:rFonts w:ascii="Arial Narrow" w:hAnsi="Arial Narrow"/>
          <w:b w:val="1"/>
          <w:bCs w:val="1"/>
          <w:sz w:val="20"/>
          <w:szCs w:val="20"/>
          <w:rtl w:val="0"/>
        </w:rPr>
        <w:t>Horhat RM</w:t>
      </w:r>
      <w:r>
        <w:rPr>
          <w:rStyle w:val="None"/>
          <w:rFonts w:ascii="Arial Narrow" w:hAnsi="Arial Narrow"/>
          <w:sz w:val="20"/>
          <w:szCs w:val="20"/>
          <w:rtl w:val="0"/>
          <w:lang w:val="en-US"/>
        </w:rPr>
        <w:t>, Talpos-Niculescu RM, Sinescu C, Duma VF, Vulcanescu DD, Topala F, Negrutiu ML. Evaluation of the Shaping Ability of Three Thermally Treated Nickel-Titanium Endodontic Instruments on Standardized 3D-printed Dental Replicas Using Cone-Beam Computed Tomography. Medicina (Kaunas). 2021 Aug 29;57(9):901. doi: 10.3390/medicina57090901. PMID: 34577824; PMCID: PMC8469020.</w:t>
      </w:r>
    </w:p>
    <w:p>
      <w:pPr>
        <w:pStyle w:val="List Paragraph1"/>
        <w:numPr>
          <w:ilvl w:val="0"/>
          <w:numId w:val="3"/>
        </w:numPr>
        <w:suppressAutoHyphens w:val="1"/>
        <w:bidi w:val="0"/>
        <w:ind w:right="113"/>
        <w:jc w:val="left"/>
        <w:rPr>
          <w:rFonts w:ascii="Arial Narrow" w:hAnsi="Arial Narrow"/>
          <w:sz w:val="20"/>
          <w:szCs w:val="20"/>
          <w:rtl w:val="0"/>
        </w:rPr>
      </w:pPr>
      <w:r>
        <w:rPr>
          <w:rFonts w:ascii="Arial Narrow" w:hAnsi="Arial Narrow"/>
          <w:sz w:val="20"/>
          <w:szCs w:val="20"/>
          <w:rtl w:val="0"/>
        </w:rPr>
        <w:t xml:space="preserve">Orel L, Velea-Barta OA, Sinescu C, Duma VF, Nica LM, </w:t>
      </w:r>
      <w:r>
        <w:rPr>
          <w:rStyle w:val="None"/>
          <w:rFonts w:ascii="Arial Narrow" w:hAnsi="Arial Narrow"/>
          <w:b w:val="1"/>
          <w:bCs w:val="1"/>
          <w:sz w:val="20"/>
          <w:szCs w:val="20"/>
          <w:rtl w:val="0"/>
        </w:rPr>
        <w:t>Horhat RM</w:t>
      </w:r>
      <w:r>
        <w:rPr>
          <w:rFonts w:ascii="Arial Narrow" w:hAnsi="Arial Narrow"/>
          <w:sz w:val="20"/>
          <w:szCs w:val="20"/>
          <w:rtl w:val="0"/>
        </w:rPr>
        <w:t>, Chirila RD, Tudor A, Vulc</w:t>
      </w:r>
      <w:r>
        <w:rPr>
          <w:rFonts w:ascii="Arial Narrow" w:hAnsi="Arial Narrow" w:hint="default"/>
          <w:sz w:val="20"/>
          <w:szCs w:val="20"/>
          <w:rtl w:val="0"/>
        </w:rPr>
        <w:t>ă</w:t>
      </w:r>
      <w:r>
        <w:rPr>
          <w:rStyle w:val="None"/>
          <w:rFonts w:ascii="Arial Narrow" w:hAnsi="Arial Narrow"/>
          <w:sz w:val="20"/>
          <w:szCs w:val="20"/>
          <w:rtl w:val="0"/>
          <w:lang w:val="en-US"/>
        </w:rPr>
        <w:t>nescu DD, Negrutiu ML. Comparative Assessment of the Shaping Ability of Reciproc Blue, WaveOne Gold, and ProTaper Gold in Simulated Root Canals. Materials (Basel). 2022 Apr 21;15(9):3028. doi: 10.3390/ma15093028. PMID: 35591361; PMCID: PMC9102275.</w:t>
      </w:r>
    </w:p>
    <w:p>
      <w:pPr>
        <w:pStyle w:val="List Paragraph1"/>
        <w:numPr>
          <w:ilvl w:val="0"/>
          <w:numId w:val="3"/>
        </w:numPr>
        <w:suppressAutoHyphens w:val="1"/>
        <w:bidi w:val="0"/>
        <w:ind w:right="113"/>
        <w:jc w:val="left"/>
        <w:rPr>
          <w:rFonts w:ascii="Arial Narrow" w:hAnsi="Arial Narrow"/>
          <w:sz w:val="20"/>
          <w:szCs w:val="20"/>
          <w:rtl w:val="0"/>
        </w:rPr>
      </w:pPr>
      <w:r>
        <w:rPr>
          <w:rFonts w:ascii="Arial Narrow" w:hAnsi="Arial Narrow"/>
          <w:sz w:val="20"/>
          <w:szCs w:val="20"/>
          <w:rtl w:val="0"/>
        </w:rPr>
        <w:t xml:space="preserve">Varga, N.-I.; Mateescu, D.-M.; Negrean, R.A.; Horhat, F.G.; Bagiu, I.-C.; Kodimala, S.C.; Bandi, S.S.S.; </w:t>
      </w:r>
      <w:r>
        <w:rPr>
          <w:rStyle w:val="None"/>
          <w:rFonts w:ascii="Arial Narrow" w:hAnsi="Arial Narrow"/>
          <w:b w:val="1"/>
          <w:bCs w:val="1"/>
          <w:sz w:val="20"/>
          <w:szCs w:val="20"/>
          <w:rtl w:val="0"/>
        </w:rPr>
        <w:t>Horhat, R.M</w:t>
      </w:r>
      <w:r>
        <w:rPr>
          <w:rStyle w:val="None"/>
          <w:rFonts w:ascii="Arial Narrow" w:hAnsi="Arial Narrow"/>
          <w:sz w:val="20"/>
          <w:szCs w:val="20"/>
          <w:rtl w:val="0"/>
          <w:lang w:val="en-US"/>
        </w:rPr>
        <w:t xml:space="preserve">.; Horhat, D.I.; Mot, I.C.; Miutescu, B. Diagnosis and Management of a Triple Infection with </w:t>
      </w:r>
      <w:r>
        <w:rPr>
          <w:rStyle w:val="None"/>
          <w:rFonts w:ascii="Arial Narrow" w:hAnsi="Arial Narrow"/>
          <w:i w:val="1"/>
          <w:iCs w:val="1"/>
          <w:sz w:val="20"/>
          <w:szCs w:val="20"/>
          <w:rtl w:val="0"/>
          <w:lang w:val="pt-PT"/>
        </w:rPr>
        <w:t>Leptospira</w:t>
      </w:r>
      <w:r>
        <w:rPr>
          <w:rStyle w:val="None"/>
          <w:rFonts w:ascii="Arial Narrow" w:hAnsi="Arial Narrow"/>
          <w:sz w:val="20"/>
          <w:szCs w:val="20"/>
          <w:rtl w:val="0"/>
          <w:lang w:val="en-US"/>
        </w:rPr>
        <w:t xml:space="preserve"> spp., Hepatitis A Virus, and Epstein</w:t>
      </w:r>
      <w:r>
        <w:rPr>
          <w:rFonts w:ascii="Arial Narrow" w:hAnsi="Arial Narrow" w:hint="default"/>
          <w:sz w:val="20"/>
          <w:szCs w:val="20"/>
          <w:rtl w:val="0"/>
        </w:rPr>
        <w:t>–</w:t>
      </w:r>
      <w:r>
        <w:rPr>
          <w:rStyle w:val="None"/>
          <w:rFonts w:ascii="Arial Narrow" w:hAnsi="Arial Narrow"/>
          <w:sz w:val="20"/>
          <w:szCs w:val="20"/>
          <w:rtl w:val="0"/>
          <w:lang w:val="en-US"/>
        </w:rPr>
        <w:t xml:space="preserve">Barr Virus: A Rare Occurrence with High Hepatotoxic Effect. </w:t>
      </w:r>
      <w:r>
        <w:rPr>
          <w:rStyle w:val="None"/>
          <w:rFonts w:ascii="Arial Narrow" w:hAnsi="Arial Narrow"/>
          <w:i w:val="1"/>
          <w:iCs w:val="1"/>
          <w:sz w:val="20"/>
          <w:szCs w:val="20"/>
          <w:rtl w:val="0"/>
          <w:lang w:val="en-US"/>
        </w:rPr>
        <w:t>Healthcare</w:t>
      </w:r>
      <w:r>
        <w:rPr>
          <w:rFonts w:ascii="Arial Narrow" w:hAnsi="Arial Narrow"/>
          <w:sz w:val="20"/>
          <w:szCs w:val="20"/>
          <w:rtl w:val="0"/>
        </w:rPr>
        <w:t xml:space="preserve"> </w:t>
      </w:r>
      <w:r>
        <w:rPr>
          <w:rStyle w:val="None"/>
          <w:rFonts w:ascii="Arial Narrow" w:hAnsi="Arial Narrow"/>
          <w:b w:val="1"/>
          <w:bCs w:val="1"/>
          <w:sz w:val="20"/>
          <w:szCs w:val="20"/>
          <w:rtl w:val="0"/>
        </w:rPr>
        <w:t>2023</w:t>
      </w:r>
      <w:r>
        <w:rPr>
          <w:rFonts w:ascii="Arial Narrow" w:hAnsi="Arial Narrow"/>
          <w:sz w:val="20"/>
          <w:szCs w:val="20"/>
          <w:rtl w:val="0"/>
        </w:rPr>
        <w:t xml:space="preserve">, </w:t>
      </w:r>
      <w:r>
        <w:rPr>
          <w:rStyle w:val="None"/>
          <w:rFonts w:ascii="Arial Narrow" w:hAnsi="Arial Narrow"/>
          <w:i w:val="1"/>
          <w:iCs w:val="1"/>
          <w:sz w:val="20"/>
          <w:szCs w:val="20"/>
          <w:rtl w:val="0"/>
        </w:rPr>
        <w:t>11</w:t>
      </w:r>
      <w:r>
        <w:rPr>
          <w:rFonts w:ascii="Arial Narrow" w:hAnsi="Arial Narrow"/>
          <w:sz w:val="20"/>
          <w:szCs w:val="20"/>
          <w:rtl w:val="0"/>
        </w:rPr>
        <w:t xml:space="preserve">, 597. </w:t>
      </w:r>
      <w:r>
        <w:rPr>
          <w:rStyle w:val="Hyperlink.0"/>
          <w:rFonts w:ascii="Arial Narrow" w:cs="Arial Narrow" w:hAnsi="Arial Narrow" w:eastAsia="Arial Narrow"/>
          <w:sz w:val="20"/>
          <w:szCs w:val="20"/>
          <w:u w:val="single"/>
          <w:lang w:val="en-US"/>
        </w:rPr>
        <w:fldChar w:fldCharType="begin" w:fldLock="0"/>
      </w:r>
      <w:r>
        <w:rPr>
          <w:rStyle w:val="Hyperlink.0"/>
          <w:rFonts w:ascii="Arial Narrow" w:cs="Arial Narrow" w:hAnsi="Arial Narrow" w:eastAsia="Arial Narrow"/>
          <w:sz w:val="20"/>
          <w:szCs w:val="20"/>
          <w:u w:val="single"/>
          <w:lang w:val="en-US"/>
        </w:rPr>
        <w:instrText xml:space="preserve"> HYPERLINK "https://doi.org/10.3390/healthcare11040597"</w:instrText>
      </w:r>
      <w:r>
        <w:rPr>
          <w:rStyle w:val="Hyperlink.0"/>
          <w:rFonts w:ascii="Arial Narrow" w:cs="Arial Narrow" w:hAnsi="Arial Narrow" w:eastAsia="Arial Narrow"/>
          <w:sz w:val="20"/>
          <w:szCs w:val="20"/>
          <w:u w:val="single"/>
          <w:lang w:val="en-US"/>
        </w:rPr>
        <w:fldChar w:fldCharType="separate" w:fldLock="0"/>
      </w:r>
      <w:r>
        <w:rPr>
          <w:rStyle w:val="Hyperlink.0"/>
          <w:rFonts w:ascii="Arial Narrow" w:hAnsi="Arial Narrow"/>
          <w:sz w:val="20"/>
          <w:szCs w:val="20"/>
          <w:u w:val="single"/>
          <w:rtl w:val="0"/>
          <w:lang w:val="en-US"/>
        </w:rPr>
        <w:t>https://doi.org/10.3390/healthcare11040597</w:t>
      </w:r>
      <w:r>
        <w:rPr>
          <w:rFonts w:ascii="Arial Narrow" w:cs="Arial Narrow" w:hAnsi="Arial Narrow" w:eastAsia="Arial Narrow"/>
          <w:sz w:val="20"/>
          <w:szCs w:val="20"/>
        </w:rPr>
        <w:fldChar w:fldCharType="end" w:fldLock="0"/>
      </w:r>
    </w:p>
    <w:p>
      <w:pPr>
        <w:pStyle w:val="List Paragraph1"/>
        <w:numPr>
          <w:ilvl w:val="0"/>
          <w:numId w:val="3"/>
        </w:numPr>
        <w:suppressAutoHyphens w:val="1"/>
        <w:bidi w:val="0"/>
        <w:ind w:right="113"/>
        <w:jc w:val="left"/>
        <w:rPr>
          <w:rFonts w:ascii="Arial Narrow" w:hAnsi="Arial Narrow"/>
          <w:sz w:val="20"/>
          <w:szCs w:val="20"/>
          <w:rtl w:val="0"/>
        </w:rPr>
      </w:pPr>
      <w:r>
        <w:rPr>
          <w:rFonts w:ascii="Arial Narrow" w:hAnsi="Arial Narrow"/>
          <w:sz w:val="20"/>
          <w:szCs w:val="20"/>
          <w:rtl w:val="0"/>
        </w:rPr>
        <w:t xml:space="preserve">Bogdan I, Gadela T, Bratosin F, Dumitru C, Popescu A, Horhat FG, Negrean RA, </w:t>
      </w:r>
      <w:r>
        <w:rPr>
          <w:rStyle w:val="None"/>
          <w:rFonts w:ascii="Arial Narrow" w:hAnsi="Arial Narrow"/>
          <w:b w:val="1"/>
          <w:bCs w:val="1"/>
          <w:sz w:val="20"/>
          <w:szCs w:val="20"/>
          <w:rtl w:val="0"/>
        </w:rPr>
        <w:t>Horhat RM</w:t>
      </w:r>
      <w:r>
        <w:rPr>
          <w:rStyle w:val="None"/>
          <w:rFonts w:ascii="Arial Narrow" w:hAnsi="Arial Narrow"/>
          <w:sz w:val="20"/>
          <w:szCs w:val="20"/>
          <w:rtl w:val="0"/>
          <w:lang w:val="en-US"/>
        </w:rPr>
        <w:t>, Mot IC, Bota AV, Stoica CN, Feciche B, Csep AN, Fericean RM, Chicin GN, Marincu I. The Assessment of Multiplex PCR in Identifying Bacterial Infections in Patients Hospitalized with SARS-CoV-2 Infection: A Systematic Review. Antibiotics (Basel). 2023 Feb 24;12(3):465. doi: 10.3390/antibiotics12030465. PMID: 36978332; PMCID: PMC10044563.</w:t>
      </w:r>
    </w:p>
    <w:p>
      <w:pPr>
        <w:pStyle w:val="List Paragraph1"/>
        <w:numPr>
          <w:ilvl w:val="0"/>
          <w:numId w:val="3"/>
        </w:numPr>
        <w:suppressAutoHyphens w:val="1"/>
        <w:bidi w:val="0"/>
        <w:ind w:right="113"/>
        <w:jc w:val="left"/>
        <w:rPr>
          <w:rFonts w:ascii="Arial Narrow" w:hAnsi="Arial Narrow"/>
          <w:sz w:val="20"/>
          <w:szCs w:val="20"/>
          <w:rtl w:val="0"/>
        </w:rPr>
      </w:pPr>
      <w:r>
        <w:rPr>
          <w:rFonts w:ascii="Arial Narrow" w:hAnsi="Arial Narrow"/>
          <w:sz w:val="20"/>
          <w:szCs w:val="20"/>
          <w:rtl w:val="0"/>
        </w:rPr>
        <w:t>Bagiu, I.C.; Scurtu, I.L.; Horhat, D.I.; Mot, I.C.;</w:t>
      </w:r>
      <w:r>
        <w:rPr>
          <w:rStyle w:val="None"/>
          <w:rFonts w:ascii="Arial Narrow" w:hAnsi="Arial Narrow"/>
          <w:b w:val="1"/>
          <w:bCs w:val="1"/>
          <w:sz w:val="20"/>
          <w:szCs w:val="20"/>
          <w:rtl w:val="0"/>
        </w:rPr>
        <w:t xml:space="preserve"> Horhat, R.M.</w:t>
      </w:r>
      <w:r>
        <w:rPr>
          <w:rStyle w:val="None"/>
          <w:rFonts w:ascii="Arial Narrow" w:hAnsi="Arial Narrow"/>
          <w:sz w:val="20"/>
          <w:szCs w:val="20"/>
          <w:rtl w:val="0"/>
          <w:lang w:val="en-US"/>
        </w:rPr>
        <w:t xml:space="preserve">; Bagiu, R.V.; Capraru, I.D.; Diaconu, M.M.; Adam, O.; Ciornei, B.; Vulcanescu, D.D.; Juganaru, I.; Bondar, A.-C.; Horhat, F.G. COVID-19 Inflammatory Markers and Vitamin D Relationship in Pediatric Patients. </w:t>
      </w:r>
      <w:r>
        <w:rPr>
          <w:rStyle w:val="None"/>
          <w:rFonts w:ascii="Arial Narrow" w:hAnsi="Arial Narrow"/>
          <w:i w:val="1"/>
          <w:iCs w:val="1"/>
          <w:sz w:val="20"/>
          <w:szCs w:val="20"/>
          <w:rtl w:val="0"/>
          <w:lang w:val="en-US"/>
        </w:rPr>
        <w:t>Life</w:t>
      </w:r>
      <w:r>
        <w:rPr>
          <w:rFonts w:ascii="Arial Narrow" w:hAnsi="Arial Narrow"/>
          <w:sz w:val="20"/>
          <w:szCs w:val="20"/>
          <w:rtl w:val="0"/>
        </w:rPr>
        <w:t xml:space="preserve"> </w:t>
      </w:r>
      <w:r>
        <w:rPr>
          <w:rStyle w:val="None"/>
          <w:rFonts w:ascii="Arial Narrow" w:hAnsi="Arial Narrow"/>
          <w:b w:val="1"/>
          <w:bCs w:val="1"/>
          <w:sz w:val="20"/>
          <w:szCs w:val="20"/>
          <w:rtl w:val="0"/>
        </w:rPr>
        <w:t>2023</w:t>
      </w:r>
      <w:r>
        <w:rPr>
          <w:rFonts w:ascii="Arial Narrow" w:hAnsi="Arial Narrow"/>
          <w:sz w:val="20"/>
          <w:szCs w:val="20"/>
          <w:rtl w:val="0"/>
        </w:rPr>
        <w:t xml:space="preserve">, </w:t>
      </w:r>
      <w:r>
        <w:rPr>
          <w:rStyle w:val="None"/>
          <w:rFonts w:ascii="Arial Narrow" w:hAnsi="Arial Narrow"/>
          <w:i w:val="1"/>
          <w:iCs w:val="1"/>
          <w:sz w:val="20"/>
          <w:szCs w:val="20"/>
          <w:rtl w:val="0"/>
        </w:rPr>
        <w:t>13</w:t>
      </w:r>
      <w:r>
        <w:rPr>
          <w:rFonts w:ascii="Arial Narrow" w:hAnsi="Arial Narrow"/>
          <w:sz w:val="20"/>
          <w:szCs w:val="20"/>
          <w:rtl w:val="0"/>
        </w:rPr>
        <w:t xml:space="preserve">, 91. </w:t>
      </w:r>
      <w:r>
        <w:rPr>
          <w:rStyle w:val="Hyperlink.0"/>
          <w:rFonts w:ascii="Arial Narrow" w:cs="Arial Narrow" w:hAnsi="Arial Narrow" w:eastAsia="Arial Narrow"/>
          <w:sz w:val="20"/>
          <w:szCs w:val="20"/>
          <w:u w:val="single"/>
          <w:lang w:val="en-US"/>
        </w:rPr>
        <w:fldChar w:fldCharType="begin" w:fldLock="0"/>
      </w:r>
      <w:r>
        <w:rPr>
          <w:rStyle w:val="Hyperlink.0"/>
          <w:rFonts w:ascii="Arial Narrow" w:cs="Arial Narrow" w:hAnsi="Arial Narrow" w:eastAsia="Arial Narrow"/>
          <w:sz w:val="20"/>
          <w:szCs w:val="20"/>
          <w:u w:val="single"/>
          <w:lang w:val="en-US"/>
        </w:rPr>
        <w:instrText xml:space="preserve"> HYPERLINK "https://doi.org/10.3390/life13010091"</w:instrText>
      </w:r>
      <w:r>
        <w:rPr>
          <w:rStyle w:val="Hyperlink.0"/>
          <w:rFonts w:ascii="Arial Narrow" w:cs="Arial Narrow" w:hAnsi="Arial Narrow" w:eastAsia="Arial Narrow"/>
          <w:sz w:val="20"/>
          <w:szCs w:val="20"/>
          <w:u w:val="single"/>
          <w:lang w:val="en-US"/>
        </w:rPr>
        <w:fldChar w:fldCharType="separate" w:fldLock="0"/>
      </w:r>
      <w:r>
        <w:rPr>
          <w:rStyle w:val="Hyperlink.0"/>
          <w:rFonts w:ascii="Arial Narrow" w:hAnsi="Arial Narrow"/>
          <w:sz w:val="20"/>
          <w:szCs w:val="20"/>
          <w:u w:val="single"/>
          <w:rtl w:val="0"/>
          <w:lang w:val="en-US"/>
        </w:rPr>
        <w:t>https://doi.org/10.3390/life13010091</w:t>
      </w:r>
      <w:r>
        <w:rPr>
          <w:rFonts w:ascii="Arial Narrow" w:cs="Arial Narrow" w:hAnsi="Arial Narrow" w:eastAsia="Arial Narrow"/>
          <w:sz w:val="20"/>
          <w:szCs w:val="20"/>
        </w:rPr>
        <w:fldChar w:fldCharType="end" w:fldLock="0"/>
      </w:r>
      <w:r>
        <w:rPr>
          <w:rStyle w:val="None"/>
          <w:rFonts w:ascii="Arial Narrow" w:hAnsi="Arial Narrow"/>
          <w:sz w:val="24"/>
          <w:szCs w:val="24"/>
          <w:rtl w:val="0"/>
          <w:lang w:val="en-US"/>
        </w:rPr>
        <w:t xml:space="preserve"> FI 3,1</w:t>
      </w:r>
    </w:p>
    <w:p>
      <w:pPr>
        <w:pStyle w:val="List Paragraph1"/>
        <w:numPr>
          <w:ilvl w:val="0"/>
          <w:numId w:val="3"/>
        </w:numPr>
        <w:suppressAutoHyphens w:val="1"/>
        <w:bidi w:val="0"/>
        <w:ind w:right="113"/>
        <w:jc w:val="left"/>
        <w:rPr>
          <w:rFonts w:ascii="Arial Narrow" w:hAnsi="Arial Narrow"/>
          <w:sz w:val="20"/>
          <w:szCs w:val="20"/>
          <w:rtl w:val="0"/>
        </w:rPr>
      </w:pPr>
      <w:r>
        <w:rPr>
          <w:rFonts w:ascii="Arial Narrow" w:hAnsi="Arial Narrow"/>
          <w:sz w:val="20"/>
          <w:szCs w:val="20"/>
          <w:rtl w:val="0"/>
        </w:rPr>
        <w:t xml:space="preserve">Briceag, R.; Caraiane, A.; Raftu, G.; </w:t>
      </w:r>
      <w:r>
        <w:rPr>
          <w:rStyle w:val="None"/>
          <w:rFonts w:ascii="Arial Narrow" w:hAnsi="Arial Narrow"/>
          <w:b w:val="1"/>
          <w:bCs w:val="1"/>
          <w:sz w:val="20"/>
          <w:szCs w:val="20"/>
          <w:rtl w:val="0"/>
        </w:rPr>
        <w:t>Horhat, R.M</w:t>
      </w:r>
      <w:r>
        <w:rPr>
          <w:rStyle w:val="None"/>
          <w:rFonts w:ascii="Arial Narrow" w:hAnsi="Arial Narrow"/>
          <w:sz w:val="20"/>
          <w:szCs w:val="20"/>
          <w:rtl w:val="0"/>
          <w:lang w:val="en-US"/>
        </w:rPr>
        <w:t xml:space="preserve">.; Bogdan, I.; Fericean, R.M.; Shaaban, L.; Popa, M.; Bumbu, B.A.; Bratu, M.L.; Pricop, M.; Talpos, S. Emotional and Social Impact of Halitosis on Adolescents and Young Adults: A Systematic Review. </w:t>
      </w:r>
      <w:r>
        <w:rPr>
          <w:rStyle w:val="None"/>
          <w:rFonts w:ascii="Arial Narrow" w:hAnsi="Arial Narrow"/>
          <w:i w:val="1"/>
          <w:iCs w:val="1"/>
          <w:sz w:val="20"/>
          <w:szCs w:val="20"/>
          <w:rtl w:val="0"/>
          <w:lang w:val="it-IT"/>
        </w:rPr>
        <w:t>Medicina</w:t>
      </w:r>
      <w:r>
        <w:rPr>
          <w:rFonts w:ascii="Arial Narrow" w:hAnsi="Arial Narrow"/>
          <w:sz w:val="20"/>
          <w:szCs w:val="20"/>
          <w:rtl w:val="0"/>
        </w:rPr>
        <w:t xml:space="preserve"> </w:t>
      </w:r>
      <w:r>
        <w:rPr>
          <w:rStyle w:val="None"/>
          <w:rFonts w:ascii="Arial Narrow" w:hAnsi="Arial Narrow"/>
          <w:b w:val="1"/>
          <w:bCs w:val="1"/>
          <w:sz w:val="20"/>
          <w:szCs w:val="20"/>
          <w:rtl w:val="0"/>
        </w:rPr>
        <w:t>2023</w:t>
      </w:r>
      <w:r>
        <w:rPr>
          <w:rFonts w:ascii="Arial Narrow" w:hAnsi="Arial Narrow"/>
          <w:sz w:val="20"/>
          <w:szCs w:val="20"/>
          <w:rtl w:val="0"/>
        </w:rPr>
        <w:t xml:space="preserve">, </w:t>
      </w:r>
      <w:r>
        <w:rPr>
          <w:rStyle w:val="None"/>
          <w:rFonts w:ascii="Arial Narrow" w:hAnsi="Arial Narrow"/>
          <w:i w:val="1"/>
          <w:iCs w:val="1"/>
          <w:sz w:val="20"/>
          <w:szCs w:val="20"/>
          <w:rtl w:val="0"/>
        </w:rPr>
        <w:t>59</w:t>
      </w:r>
      <w:r>
        <w:rPr>
          <w:rFonts w:ascii="Arial Narrow" w:hAnsi="Arial Narrow"/>
          <w:sz w:val="20"/>
          <w:szCs w:val="20"/>
          <w:rtl w:val="0"/>
        </w:rPr>
        <w:t>, 564.</w:t>
      </w:r>
      <w:r>
        <w:rPr>
          <w:rFonts w:ascii="Arial Narrow" w:hAnsi="Arial Narrow"/>
          <w:sz w:val="20"/>
          <w:szCs w:val="20"/>
          <w:rtl w:val="0"/>
          <w:lang w:val="en-US"/>
        </w:rPr>
        <w:t xml:space="preserve"> FI 2</w:t>
      </w:r>
    </w:p>
    <w:p>
      <w:pPr>
        <w:pStyle w:val="List Paragraph1"/>
        <w:numPr>
          <w:ilvl w:val="0"/>
          <w:numId w:val="3"/>
        </w:numPr>
        <w:suppressAutoHyphens w:val="1"/>
        <w:bidi w:val="0"/>
        <w:ind w:right="113"/>
        <w:jc w:val="left"/>
        <w:rPr>
          <w:rFonts w:ascii="Arial Narrow" w:hAnsi="Arial Narrow" w:hint="default"/>
          <w:sz w:val="20"/>
          <w:szCs w:val="20"/>
          <w:rtl w:val="0"/>
          <w:lang w:val="en-US"/>
        </w:rPr>
      </w:pPr>
      <w:r>
        <w:rPr>
          <w:rStyle w:val="None"/>
          <w:rFonts w:ascii="Arial Narrow" w:hAnsi="Arial Narrow" w:hint="default"/>
          <w:sz w:val="20"/>
          <w:szCs w:val="20"/>
          <w:rtl w:val="0"/>
          <w:lang w:val="en-US"/>
        </w:rPr>
        <w:t>Ș</w:t>
      </w:r>
      <w:r>
        <w:rPr>
          <w:rStyle w:val="None"/>
          <w:rFonts w:ascii="Arial Narrow" w:hAnsi="Arial Narrow"/>
          <w:sz w:val="20"/>
          <w:szCs w:val="20"/>
          <w:rtl w:val="0"/>
          <w:lang w:val="en-US"/>
        </w:rPr>
        <w:t>tefania Dinu, Emilia Br</w:t>
      </w:r>
      <w:r>
        <w:rPr>
          <w:rStyle w:val="None"/>
          <w:rFonts w:ascii="Arial Narrow" w:hAnsi="Arial Narrow" w:hint="default"/>
          <w:sz w:val="20"/>
          <w:szCs w:val="20"/>
          <w:rtl w:val="0"/>
          <w:lang w:val="en-US"/>
        </w:rPr>
        <w:t>â</w:t>
      </w:r>
      <w:r>
        <w:rPr>
          <w:rStyle w:val="None"/>
          <w:rFonts w:ascii="Arial Narrow" w:hAnsi="Arial Narrow"/>
          <w:sz w:val="20"/>
          <w:szCs w:val="20"/>
          <w:rtl w:val="0"/>
          <w:lang w:val="en-US"/>
        </w:rPr>
        <w:t>ndu</w:t>
      </w:r>
      <w:r>
        <w:rPr>
          <w:rStyle w:val="None"/>
          <w:rFonts w:ascii="Arial Narrow" w:hAnsi="Arial Narrow" w:hint="default"/>
          <w:sz w:val="20"/>
          <w:szCs w:val="20"/>
          <w:rtl w:val="0"/>
          <w:lang w:val="en-US"/>
        </w:rPr>
        <w:t>ș</w:t>
      </w:r>
      <w:r>
        <w:rPr>
          <w:rStyle w:val="None"/>
          <w:rFonts w:ascii="Arial Narrow" w:hAnsi="Arial Narrow"/>
          <w:sz w:val="20"/>
          <w:szCs w:val="20"/>
          <w:rtl w:val="0"/>
          <w:lang w:val="en-US"/>
        </w:rPr>
        <w:t>a Br</w:t>
      </w:r>
      <w:r>
        <w:rPr>
          <w:rStyle w:val="None"/>
          <w:rFonts w:ascii="Arial Narrow" w:hAnsi="Arial Narrow" w:hint="default"/>
          <w:sz w:val="20"/>
          <w:szCs w:val="20"/>
          <w:rtl w:val="0"/>
          <w:lang w:val="en-US"/>
        </w:rPr>
        <w:t>ă</w:t>
      </w:r>
      <w:r>
        <w:rPr>
          <w:rStyle w:val="None"/>
          <w:rFonts w:ascii="Arial Narrow" w:hAnsi="Arial Narrow"/>
          <w:sz w:val="20"/>
          <w:szCs w:val="20"/>
          <w:rtl w:val="0"/>
          <w:lang w:val="en-US"/>
        </w:rPr>
        <w:t>il</w:t>
      </w:r>
      <w:r>
        <w:rPr>
          <w:rStyle w:val="None"/>
          <w:rFonts w:ascii="Arial Narrow" w:hAnsi="Arial Narrow" w:hint="default"/>
          <w:sz w:val="20"/>
          <w:szCs w:val="20"/>
          <w:rtl w:val="0"/>
          <w:lang w:val="en-US"/>
        </w:rPr>
        <w:t>ă</w:t>
      </w:r>
      <w:r>
        <w:rPr>
          <w:rStyle w:val="None"/>
          <w:rFonts w:ascii="Arial Narrow" w:hAnsi="Arial Narrow"/>
          <w:sz w:val="20"/>
          <w:szCs w:val="20"/>
          <w:rtl w:val="0"/>
          <w:lang w:val="en-US"/>
        </w:rPr>
        <w:t xml:space="preserve">, </w:t>
      </w:r>
      <w:r>
        <w:rPr>
          <w:rStyle w:val="None"/>
          <w:rFonts w:ascii="Arial Narrow" w:hAnsi="Arial Narrow"/>
          <w:b w:val="1"/>
          <w:bCs w:val="1"/>
          <w:sz w:val="20"/>
          <w:szCs w:val="20"/>
          <w:rtl w:val="0"/>
          <w:lang w:val="en-US"/>
        </w:rPr>
        <w:t>R</w:t>
      </w:r>
      <w:r>
        <w:rPr>
          <w:rStyle w:val="None"/>
          <w:rFonts w:ascii="Arial Narrow" w:hAnsi="Arial Narrow" w:hint="default"/>
          <w:b w:val="1"/>
          <w:bCs w:val="1"/>
          <w:sz w:val="20"/>
          <w:szCs w:val="20"/>
          <w:rtl w:val="0"/>
          <w:lang w:val="en-US"/>
        </w:rPr>
        <w:t>ă</w:t>
      </w:r>
      <w:r>
        <w:rPr>
          <w:rStyle w:val="None"/>
          <w:rFonts w:ascii="Arial Narrow" w:hAnsi="Arial Narrow"/>
          <w:b w:val="1"/>
          <w:bCs w:val="1"/>
          <w:sz w:val="20"/>
          <w:szCs w:val="20"/>
          <w:rtl w:val="0"/>
          <w:lang w:val="en-US"/>
        </w:rPr>
        <w:t>zvan Mihai Horhat</w:t>
      </w:r>
      <w:r>
        <w:rPr>
          <w:rStyle w:val="None"/>
          <w:rFonts w:ascii="Arial Narrow" w:hAnsi="Arial Narrow"/>
          <w:sz w:val="20"/>
          <w:szCs w:val="20"/>
          <w:rtl w:val="0"/>
          <w:lang w:val="en-US"/>
        </w:rPr>
        <w:t xml:space="preserve">, Mariana </w:t>
      </w:r>
      <w:r>
        <w:rPr>
          <w:rStyle w:val="None"/>
          <w:rFonts w:ascii="Arial Narrow" w:hAnsi="Arial Narrow"/>
          <w:sz w:val="20"/>
          <w:szCs w:val="20"/>
          <w:rtl w:val="0"/>
          <w:lang w:val="en-US"/>
        </w:rPr>
        <w:t xml:space="preserve">     </w:t>
      </w:r>
      <w:r>
        <w:rPr>
          <w:rStyle w:val="None"/>
          <w:rFonts w:ascii="Arial Narrow" w:hAnsi="Arial Narrow"/>
          <w:sz w:val="20"/>
          <w:szCs w:val="20"/>
          <w:rtl w:val="0"/>
          <w:lang w:val="en-US"/>
        </w:rPr>
        <w:t>P</w:t>
      </w:r>
      <w:r>
        <w:rPr>
          <w:rStyle w:val="None"/>
          <w:rFonts w:ascii="Arial Narrow" w:hAnsi="Arial Narrow" w:hint="default"/>
          <w:sz w:val="20"/>
          <w:szCs w:val="20"/>
          <w:rtl w:val="0"/>
          <w:lang w:val="en-US"/>
        </w:rPr>
        <w:t>ă</w:t>
      </w:r>
      <w:r>
        <w:rPr>
          <w:rStyle w:val="None"/>
          <w:rFonts w:ascii="Arial Narrow" w:hAnsi="Arial Narrow"/>
          <w:sz w:val="20"/>
          <w:szCs w:val="20"/>
          <w:rtl w:val="0"/>
          <w:lang w:val="en-US"/>
        </w:rPr>
        <w:t>curar, Hajosman</w:t>
      </w:r>
      <w:r>
        <w:rPr>
          <w:rStyle w:val="None"/>
          <w:rFonts w:ascii="Arial Narrow" w:hAnsi="Arial Narrow"/>
          <w:sz w:val="20"/>
          <w:szCs w:val="20"/>
          <w:rtl w:val="0"/>
          <w:lang w:val="en-US"/>
        </w:rPr>
        <w:t xml:space="preserve">, </w:t>
      </w:r>
      <w:r>
        <w:rPr>
          <w:rStyle w:val="None"/>
          <w:rFonts w:ascii="Arial Narrow" w:hAnsi="Arial Narrow"/>
          <w:sz w:val="20"/>
          <w:szCs w:val="20"/>
          <w:rtl w:val="0"/>
          <w:lang w:val="en-US"/>
        </w:rPr>
        <w:t>Isam Osma, Vlad Grigore, Simina Boia, Eugen-Radu Boia, Magda Mihaela Luca, M</w:t>
      </w:r>
      <w:r>
        <w:rPr>
          <w:rStyle w:val="None"/>
          <w:rFonts w:ascii="Arial Narrow" w:hAnsi="Arial Narrow" w:hint="default"/>
          <w:sz w:val="20"/>
          <w:szCs w:val="20"/>
          <w:rtl w:val="0"/>
          <w:lang w:val="en-US"/>
        </w:rPr>
        <w:t>ă</w:t>
      </w:r>
      <w:r>
        <w:rPr>
          <w:rStyle w:val="None"/>
          <w:rFonts w:ascii="Arial Narrow" w:hAnsi="Arial Narrow"/>
          <w:sz w:val="20"/>
          <w:szCs w:val="20"/>
          <w:rtl w:val="0"/>
          <w:lang w:val="en-US"/>
        </w:rPr>
        <w:t xml:space="preserve">lina Popa, EVALUATION OF PHARYNGEAL AIRWAY VOLUME USING CONE </w:t>
      </w:r>
      <w:r>
        <w:rPr>
          <w:rStyle w:val="None"/>
          <w:rFonts w:ascii="Arial Narrow" w:hAnsi="Arial Narrow" w:hint="default"/>
          <w:sz w:val="20"/>
          <w:szCs w:val="20"/>
          <w:rtl w:val="0"/>
          <w:lang w:val="en-US"/>
        </w:rPr>
        <w:t xml:space="preserve">– </w:t>
      </w:r>
      <w:r>
        <w:rPr>
          <w:rStyle w:val="None"/>
          <w:rFonts w:ascii="Arial Narrow" w:hAnsi="Arial Narrow"/>
          <w:sz w:val="20"/>
          <w:szCs w:val="20"/>
          <w:rtl w:val="0"/>
          <w:lang w:val="en-US"/>
        </w:rPr>
        <w:t xml:space="preserve">BEAM COMPUTED </w:t>
      </w:r>
      <w:r>
        <w:rPr>
          <w:rStyle w:val="None"/>
          <w:rFonts w:ascii="Arial Narrow" w:cs="Arial Narrow" w:hAnsi="Arial Narrow" w:eastAsia="Arial Narrow"/>
          <w:sz w:val="20"/>
          <w:szCs w:val="20"/>
          <w:lang w:val="en-US"/>
        </w:rPr>
        <w:tab/>
      </w:r>
      <w:r>
        <w:rPr>
          <w:rStyle w:val="None"/>
          <w:rFonts w:ascii="Arial Narrow" w:hAnsi="Arial Narrow"/>
          <w:sz w:val="20"/>
          <w:szCs w:val="20"/>
          <w:rtl w:val="0"/>
          <w:lang w:val="en-US"/>
        </w:rPr>
        <w:t xml:space="preserve">TOMOGRAPHY </w:t>
      </w:r>
      <w:r>
        <w:rPr>
          <w:rStyle w:val="None"/>
          <w:rFonts w:ascii="Arial Narrow" w:hAnsi="Arial Narrow" w:hint="default"/>
          <w:sz w:val="20"/>
          <w:szCs w:val="20"/>
          <w:rtl w:val="0"/>
          <w:lang w:val="en-US"/>
        </w:rPr>
        <w:t xml:space="preserve">– </w:t>
      </w:r>
      <w:r>
        <w:rPr>
          <w:rStyle w:val="None"/>
          <w:rFonts w:ascii="Arial Narrow" w:hAnsi="Arial Narrow"/>
          <w:sz w:val="20"/>
          <w:szCs w:val="20"/>
          <w:rtl w:val="0"/>
          <w:lang w:val="en-US"/>
        </w:rPr>
        <w:t xml:space="preserve">CASE REPORT , JURNALUL PEDIATRULUI, 2021, Vol. XXIII, Nr. 91-92, pag 3-7, ISSN 2065 </w:t>
      </w:r>
      <w:r>
        <w:rPr>
          <w:rStyle w:val="None"/>
          <w:rFonts w:ascii="Arial Narrow" w:hAnsi="Arial Narrow" w:hint="default"/>
          <w:sz w:val="20"/>
          <w:szCs w:val="20"/>
          <w:rtl w:val="0"/>
          <w:lang w:val="en-US"/>
        </w:rPr>
        <w:t xml:space="preserve">– </w:t>
      </w:r>
      <w:r>
        <w:rPr>
          <w:rStyle w:val="None"/>
          <w:rFonts w:ascii="Arial Narrow" w:hAnsi="Arial Narrow"/>
          <w:sz w:val="20"/>
          <w:szCs w:val="20"/>
          <w:rtl w:val="0"/>
          <w:lang w:val="en-US"/>
        </w:rPr>
        <w:t>4855, doi.org/10.37224/JP.2021.9394.01,</w:t>
      </w:r>
      <w:r>
        <w:rPr>
          <w:rStyle w:val="None"/>
          <w:rFonts w:ascii="Arial Narrow" w:cs="Arial Narrow" w:hAnsi="Arial Narrow" w:eastAsia="Arial Narrow"/>
          <w:sz w:val="20"/>
          <w:szCs w:val="20"/>
          <w:lang w:val="en-US"/>
        </w:rPr>
        <w:tab/>
        <w:tab/>
        <w:tab/>
        <w:tab/>
        <w:tab/>
        <w:tab/>
        <w:tab/>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Bra</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ila</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 xml:space="preserve"> </w:t>
      </w:r>
      <w:r>
        <w:rPr>
          <w:rStyle w:val="None"/>
          <w:rFonts w:ascii="Arial Narrow" w:hAnsi="Arial Narrow"/>
          <w:sz w:val="20"/>
          <w:szCs w:val="20"/>
          <w:rtl w:val="0"/>
          <w:lang w:val="en-US"/>
        </w:rPr>
        <w:t>E.B.</w:t>
      </w:r>
      <w:r>
        <w:rPr>
          <w:rStyle w:val="None"/>
          <w:rFonts w:ascii="Arial Narrow" w:hAnsi="Arial Narrow"/>
          <w:b w:val="1"/>
          <w:bCs w:val="1"/>
          <w:sz w:val="20"/>
          <w:szCs w:val="20"/>
          <w:rtl w:val="0"/>
          <w:lang w:val="en-US"/>
        </w:rPr>
        <w:t>,</w:t>
      </w:r>
      <w:r>
        <w:rPr>
          <w:rStyle w:val="None"/>
          <w:rFonts w:ascii="Arial Narrow" w:hAnsi="Arial Narrow"/>
          <w:sz w:val="20"/>
          <w:szCs w:val="20"/>
          <w:rtl w:val="0"/>
          <w:lang w:val="en-US"/>
        </w:rPr>
        <w:t xml:space="preserve"> Jumanca D., Popa M., Buzatu A.R., </w:t>
      </w:r>
      <w:r>
        <w:rPr>
          <w:rStyle w:val="None"/>
          <w:rFonts w:ascii="Arial Narrow" w:hAnsi="Arial Narrow"/>
          <w:b w:val="1"/>
          <w:bCs w:val="1"/>
          <w:sz w:val="20"/>
          <w:szCs w:val="20"/>
          <w:rtl w:val="0"/>
          <w:lang w:val="en-US"/>
        </w:rPr>
        <w:t>Horhat R.M.</w:t>
      </w:r>
      <w:r>
        <w:rPr>
          <w:rStyle w:val="None"/>
          <w:rFonts w:ascii="Arial Narrow" w:hAnsi="Arial Narrow"/>
          <w:sz w:val="20"/>
          <w:szCs w:val="20"/>
          <w:rtl w:val="0"/>
          <w:lang w:val="en-US"/>
        </w:rPr>
        <w:t>,Candea A.C., Dinu S</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 Comparative study on linear dimensional stability between condensation silicones and addition silicones using the sandwich technique, Medicine in Evolution, 2021, Volume XXVII, No.2, pg.124-128, Timi</w:t>
      </w:r>
      <w:r>
        <w:rPr>
          <w:rStyle w:val="None"/>
          <w:rFonts w:ascii="Arial Narrow" w:hAnsi="Arial Narrow" w:hint="default"/>
          <w:sz w:val="20"/>
          <w:szCs w:val="20"/>
          <w:rtl w:val="0"/>
          <w:lang w:val="en-US"/>
        </w:rPr>
        <w:t>ş</w:t>
      </w:r>
      <w:r>
        <w:rPr>
          <w:rStyle w:val="None"/>
          <w:rFonts w:ascii="Arial Narrow" w:hAnsi="Arial Narrow"/>
          <w:sz w:val="20"/>
          <w:szCs w:val="20"/>
          <w:rtl w:val="0"/>
          <w:lang w:val="en-US"/>
        </w:rPr>
        <w:t>oara, Romania, ISSN 2065-376X</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Dinu S</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 Popa M., Matichescu A.M., Cra</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ciunescu E.L., Bra</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ila</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 xml:space="preserve"> </w:t>
      </w:r>
      <w:r>
        <w:rPr>
          <w:rStyle w:val="None"/>
          <w:rFonts w:ascii="Arial Narrow" w:hAnsi="Arial Narrow"/>
          <w:sz w:val="20"/>
          <w:szCs w:val="20"/>
          <w:rtl w:val="0"/>
          <w:lang w:val="en-US"/>
        </w:rPr>
        <w:t>E.B.,</w:t>
      </w:r>
      <w:r>
        <w:rPr>
          <w:rStyle w:val="None"/>
          <w:rFonts w:ascii="Helvetica Neue" w:hAnsi="Helvetica Neue"/>
          <w:b w:val="1"/>
          <w:bCs w:val="1"/>
          <w:sz w:val="20"/>
          <w:szCs w:val="20"/>
          <w:rtl w:val="0"/>
          <w:lang w:val="en-US"/>
        </w:rPr>
        <w:t xml:space="preserve"> Horhat R.M</w:t>
      </w:r>
      <w:r>
        <w:rPr>
          <w:rStyle w:val="None"/>
          <w:rFonts w:ascii="Arial Narrow" w:hAnsi="Arial Narrow"/>
          <w:sz w:val="20"/>
          <w:szCs w:val="20"/>
          <w:rtl w:val="0"/>
          <w:lang w:val="en-US"/>
        </w:rPr>
        <w:t>., Interceptive treatment with elastodontic appliance: case report , Medicine in Evolution 2021, Volume XXVII, No.2, pg.167-171, Timi</w:t>
      </w:r>
      <w:r>
        <w:rPr>
          <w:rStyle w:val="None"/>
          <w:rFonts w:ascii="Arial Narrow" w:hAnsi="Arial Narrow" w:hint="default"/>
          <w:sz w:val="20"/>
          <w:szCs w:val="20"/>
          <w:rtl w:val="0"/>
          <w:lang w:val="en-US"/>
        </w:rPr>
        <w:t>ş</w:t>
      </w:r>
      <w:r>
        <w:rPr>
          <w:rStyle w:val="None"/>
          <w:rFonts w:ascii="Arial Narrow" w:hAnsi="Arial Narrow"/>
          <w:sz w:val="20"/>
          <w:szCs w:val="20"/>
          <w:rtl w:val="0"/>
          <w:lang w:val="en-US"/>
        </w:rPr>
        <w:t>oara, Romania, ISSN 2065-376X</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Bra</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ila</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 xml:space="preserve"> </w:t>
      </w:r>
      <w:r>
        <w:rPr>
          <w:rStyle w:val="None"/>
          <w:rFonts w:ascii="Arial Narrow" w:hAnsi="Arial Narrow"/>
          <w:sz w:val="20"/>
          <w:szCs w:val="20"/>
          <w:rtl w:val="0"/>
          <w:lang w:val="en-US"/>
        </w:rPr>
        <w:t>E.B</w:t>
      </w:r>
      <w:r>
        <w:rPr>
          <w:rStyle w:val="None"/>
          <w:rFonts w:ascii="Helvetica Neue" w:hAnsi="Helvetica Neue"/>
          <w:b w:val="1"/>
          <w:bCs w:val="1"/>
          <w:sz w:val="20"/>
          <w:szCs w:val="20"/>
          <w:rtl w:val="0"/>
          <w:lang w:val="en-US"/>
        </w:rPr>
        <w:t>.,</w:t>
      </w:r>
      <w:r>
        <w:rPr>
          <w:rStyle w:val="None"/>
          <w:rFonts w:ascii="Arial Narrow" w:hAnsi="Arial Narrow"/>
          <w:sz w:val="20"/>
          <w:szCs w:val="20"/>
          <w:rtl w:val="0"/>
          <w:lang w:val="en-US"/>
        </w:rPr>
        <w:t xml:space="preserve"> Jumanca D.E., Ga</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lus</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can A., Lozici A.M., Cra</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 xml:space="preserve">ciunescu E.L., </w:t>
      </w:r>
      <w:r>
        <w:rPr>
          <w:rStyle w:val="None"/>
          <w:rFonts w:ascii="Helvetica Neue" w:hAnsi="Helvetica Neue"/>
          <w:b w:val="1"/>
          <w:bCs w:val="1"/>
          <w:sz w:val="20"/>
          <w:szCs w:val="20"/>
          <w:rtl w:val="0"/>
          <w:lang w:val="en-US"/>
        </w:rPr>
        <w:t>Horhat R.M.,</w:t>
      </w:r>
      <w:r>
        <w:rPr>
          <w:rStyle w:val="None"/>
          <w:rFonts w:ascii="Arial Narrow" w:hAnsi="Arial Narrow"/>
          <w:sz w:val="20"/>
          <w:szCs w:val="20"/>
          <w:rtl w:val="0"/>
          <w:lang w:val="en-US"/>
        </w:rPr>
        <w:t xml:space="preserve"> Igna A., Popa M., Dinu S</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 Management of anterior dental crossbite in mixed dentition: case presentation, Medicine in Evolution, Volume XXVIII, Nr. 4, 2022, pag. 431-436, Timis</w:t>
      </w: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Narrow" w:hAnsi="Arial Narrow"/>
          <w:sz w:val="20"/>
          <w:szCs w:val="20"/>
          <w:rtl w:val="0"/>
          <w:lang w:val="en-US"/>
        </w:rPr>
        <w:t>oara, Romania ISSN</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Br</w:t>
      </w:r>
      <w:r>
        <w:rPr>
          <w:rStyle w:val="None"/>
          <w:rFonts w:ascii="Arial Narrow" w:hAnsi="Arial Narrow" w:hint="default"/>
          <w:sz w:val="20"/>
          <w:szCs w:val="20"/>
          <w:rtl w:val="0"/>
          <w:lang w:val="en-US"/>
        </w:rPr>
        <w:t>ă</w:t>
      </w:r>
      <w:r>
        <w:rPr>
          <w:rStyle w:val="None"/>
          <w:rFonts w:ascii="Arial Narrow" w:hAnsi="Arial Narrow"/>
          <w:sz w:val="20"/>
          <w:szCs w:val="20"/>
          <w:rtl w:val="0"/>
          <w:lang w:val="en-US"/>
        </w:rPr>
        <w:t>il</w:t>
      </w:r>
      <w:r>
        <w:rPr>
          <w:rStyle w:val="None"/>
          <w:rFonts w:ascii="Arial Narrow" w:hAnsi="Arial Narrow" w:hint="default"/>
          <w:sz w:val="20"/>
          <w:szCs w:val="20"/>
          <w:rtl w:val="0"/>
          <w:lang w:val="en-US"/>
        </w:rPr>
        <w:t xml:space="preserve">ă </w:t>
      </w:r>
      <w:r>
        <w:rPr>
          <w:rStyle w:val="None"/>
          <w:rFonts w:ascii="Arial Narrow" w:hAnsi="Arial Narrow"/>
          <w:sz w:val="20"/>
          <w:szCs w:val="20"/>
          <w:rtl w:val="0"/>
          <w:lang w:val="en-US"/>
        </w:rPr>
        <w:t>E.B</w:t>
      </w:r>
      <w:r>
        <w:rPr>
          <w:rStyle w:val="None"/>
          <w:rFonts w:ascii="Helvetica Neue" w:hAnsi="Helvetica Neue"/>
          <w:b w:val="1"/>
          <w:bCs w:val="1"/>
          <w:sz w:val="20"/>
          <w:szCs w:val="20"/>
          <w:rtl w:val="0"/>
          <w:lang w:val="en-US"/>
        </w:rPr>
        <w:t>.</w:t>
      </w:r>
      <w:r>
        <w:rPr>
          <w:rStyle w:val="None"/>
          <w:rFonts w:ascii="Arial Narrow" w:hAnsi="Arial Narrow"/>
          <w:sz w:val="20"/>
          <w:szCs w:val="20"/>
          <w:rtl w:val="0"/>
          <w:lang w:val="en-US"/>
        </w:rPr>
        <w:t xml:space="preserve">, Dinu </w:t>
      </w:r>
      <w:r>
        <w:rPr>
          <w:rStyle w:val="None"/>
          <w:rFonts w:ascii="Arial Narrow" w:hAnsi="Arial Narrow" w:hint="default"/>
          <w:sz w:val="20"/>
          <w:szCs w:val="20"/>
          <w:rtl w:val="0"/>
          <w:lang w:val="en-US"/>
        </w:rPr>
        <w:t>Ș</w:t>
      </w:r>
      <w:r>
        <w:rPr>
          <w:rStyle w:val="None"/>
          <w:rFonts w:ascii="Arial Narrow" w:hAnsi="Arial Narrow"/>
          <w:sz w:val="20"/>
          <w:szCs w:val="20"/>
          <w:rtl w:val="0"/>
          <w:lang w:val="en-US"/>
        </w:rPr>
        <w:t xml:space="preserve">., Jumanca D., </w:t>
      </w:r>
      <w:r>
        <w:rPr>
          <w:rStyle w:val="None"/>
          <w:rFonts w:ascii="Helvetica Neue" w:hAnsi="Helvetica Neue"/>
          <w:b w:val="1"/>
          <w:bCs w:val="1"/>
          <w:sz w:val="20"/>
          <w:szCs w:val="20"/>
          <w:rtl w:val="0"/>
          <w:lang w:val="en-US"/>
        </w:rPr>
        <w:t>Horhat R.M.</w:t>
      </w:r>
      <w:r>
        <w:rPr>
          <w:rStyle w:val="None"/>
          <w:rFonts w:ascii="Arial Narrow" w:hAnsi="Arial Narrow"/>
          <w:sz w:val="20"/>
          <w:szCs w:val="20"/>
          <w:rtl w:val="0"/>
          <w:lang w:val="en-US"/>
        </w:rPr>
        <w:t>, C</w:t>
      </w:r>
      <w:r>
        <w:rPr>
          <w:rStyle w:val="None"/>
          <w:rFonts w:ascii="Arial Narrow" w:hAnsi="Arial Narrow" w:hint="default"/>
          <w:sz w:val="20"/>
          <w:szCs w:val="20"/>
          <w:rtl w:val="0"/>
          <w:lang w:val="en-US"/>
        </w:rPr>
        <w:t>î</w:t>
      </w:r>
      <w:r>
        <w:rPr>
          <w:rStyle w:val="None"/>
          <w:rFonts w:ascii="Arial Narrow" w:hAnsi="Arial Narrow"/>
          <w:sz w:val="20"/>
          <w:szCs w:val="20"/>
          <w:rtl w:val="0"/>
          <w:lang w:val="en-US"/>
        </w:rPr>
        <w:t>rdei M.V., P</w:t>
      </w:r>
      <w:r>
        <w:rPr>
          <w:rStyle w:val="None"/>
          <w:rFonts w:ascii="Arial Narrow" w:hAnsi="Arial Narrow" w:hint="default"/>
          <w:sz w:val="20"/>
          <w:szCs w:val="20"/>
          <w:rtl w:val="0"/>
          <w:lang w:val="en-US"/>
        </w:rPr>
        <w:t>ă</w:t>
      </w:r>
      <w:r>
        <w:rPr>
          <w:rStyle w:val="None"/>
          <w:rFonts w:ascii="Arial Narrow" w:hAnsi="Arial Narrow"/>
          <w:sz w:val="20"/>
          <w:szCs w:val="20"/>
          <w:rtl w:val="0"/>
          <w:lang w:val="en-US"/>
        </w:rPr>
        <w:t>curar M., Cr</w:t>
      </w:r>
      <w:r>
        <w:rPr>
          <w:rStyle w:val="None"/>
          <w:rFonts w:ascii="Arial Narrow" w:hAnsi="Arial Narrow" w:hint="default"/>
          <w:sz w:val="20"/>
          <w:szCs w:val="20"/>
          <w:rtl w:val="0"/>
          <w:lang w:val="en-US"/>
        </w:rPr>
        <w:t>ă</w:t>
      </w:r>
      <w:r>
        <w:rPr>
          <w:rStyle w:val="None"/>
          <w:rFonts w:ascii="Arial Narrow" w:hAnsi="Arial Narrow"/>
          <w:sz w:val="20"/>
          <w:szCs w:val="20"/>
          <w:rtl w:val="0"/>
          <w:lang w:val="en-US"/>
        </w:rPr>
        <w:t xml:space="preserve">ciunescu E.L., Popa M., Non </w:t>
      </w:r>
      <w:r>
        <w:rPr>
          <w:rStyle w:val="None"/>
          <w:rFonts w:ascii="Arial Narrow" w:hAnsi="Arial Narrow" w:hint="default"/>
          <w:sz w:val="20"/>
          <w:szCs w:val="20"/>
          <w:rtl w:val="0"/>
          <w:lang w:val="en-US"/>
        </w:rPr>
        <w:t xml:space="preserve">– </w:t>
      </w:r>
      <w:r>
        <w:rPr>
          <w:rStyle w:val="None"/>
          <w:rFonts w:ascii="Arial Narrow" w:hAnsi="Arial Narrow"/>
          <w:sz w:val="20"/>
          <w:szCs w:val="20"/>
          <w:rtl w:val="0"/>
          <w:lang w:val="en-US"/>
        </w:rPr>
        <w:t xml:space="preserve">invasive therapeutic approach in dental dysplasia </w:t>
      </w:r>
      <w:r>
        <w:rPr>
          <w:rStyle w:val="None"/>
          <w:rFonts w:ascii="Arial Narrow" w:hAnsi="Arial Narrow" w:hint="default"/>
          <w:sz w:val="20"/>
          <w:szCs w:val="20"/>
          <w:rtl w:val="0"/>
          <w:lang w:val="en-US"/>
        </w:rPr>
        <w:t xml:space="preserve">– </w:t>
      </w:r>
      <w:r>
        <w:rPr>
          <w:rStyle w:val="None"/>
          <w:rFonts w:ascii="Arial Narrow" w:hAnsi="Arial Narrow"/>
          <w:sz w:val="20"/>
          <w:szCs w:val="20"/>
          <w:rtl w:val="0"/>
          <w:lang w:val="en-US"/>
        </w:rPr>
        <w:t>Molar Incisor Hypomineralisation Syndrome, Medicine in Evolution, Nr. 3, Volume XXVII, 2021, pg. 294-299 Timi</w:t>
      </w:r>
      <w:r>
        <w:rPr>
          <w:rStyle w:val="None"/>
          <w:rFonts w:ascii="Arial Narrow" w:hAnsi="Arial Narrow" w:hint="default"/>
          <w:sz w:val="20"/>
          <w:szCs w:val="20"/>
          <w:rtl w:val="0"/>
          <w:lang w:val="en-US"/>
        </w:rPr>
        <w:t>ş</w:t>
      </w:r>
      <w:r>
        <w:rPr>
          <w:rStyle w:val="None"/>
          <w:rFonts w:ascii="Arial Narrow" w:hAnsi="Arial Narrow"/>
          <w:sz w:val="20"/>
          <w:szCs w:val="20"/>
          <w:rtl w:val="0"/>
          <w:lang w:val="en-US"/>
        </w:rPr>
        <w:t>oara, Romania, ISSN 2065-376X,</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b w:val="1"/>
          <w:bCs w:val="1"/>
          <w:sz w:val="20"/>
          <w:szCs w:val="20"/>
          <w:rtl w:val="0"/>
          <w:lang w:val="en-US"/>
        </w:rPr>
        <w:t>Horhat RM</w:t>
      </w:r>
      <w:r>
        <w:rPr>
          <w:rStyle w:val="None"/>
          <w:rFonts w:ascii="Arial Narrow" w:hAnsi="Arial Narrow"/>
          <w:sz w:val="20"/>
          <w:szCs w:val="20"/>
          <w:rtl w:val="0"/>
          <w:lang w:val="en-US"/>
        </w:rPr>
        <w:t xml:space="preserve">, </w:t>
      </w:r>
      <w:r>
        <w:rPr>
          <w:rStyle w:val="None"/>
          <w:rFonts w:ascii="Arial Narrow" w:hAnsi="Arial Narrow"/>
          <w:sz w:val="20"/>
          <w:szCs w:val="20"/>
          <w:rtl w:val="0"/>
          <w:lang w:val="en-US"/>
        </w:rPr>
        <w:t xml:space="preserve">Bumbu B, Orel L, Velea-Barta O, Cirligeriu L, Chicin G, Pricop M, Rivis M, Dinu S, Horhat D, Negrean R, Nica L, </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Assessing the Sealing performance and Clinical Outcome of endodontic TREatment in Patients with Chronical Apical Periodontitis Using Epoxy Resin and Calcium Salicylate Seals.</w:t>
      </w:r>
      <w:r>
        <w:rPr>
          <w:rStyle w:val="None"/>
          <w:rFonts w:ascii="Arial Narrow" w:hAnsi="Arial Narrow" w:hint="default"/>
          <w:sz w:val="20"/>
          <w:szCs w:val="20"/>
          <w:rtl w:val="0"/>
          <w:lang w:val="en-US"/>
        </w:rPr>
        <w:t xml:space="preserve">” </w:t>
      </w:r>
      <w:r>
        <w:rPr>
          <w:rStyle w:val="None"/>
          <w:rFonts w:ascii="Arial Narrow" w:hAnsi="Arial Narrow"/>
          <w:i w:val="1"/>
          <w:iCs w:val="1"/>
          <w:sz w:val="20"/>
          <w:szCs w:val="20"/>
          <w:rtl w:val="0"/>
          <w:lang w:val="en-US"/>
        </w:rPr>
        <w:t xml:space="preserve">MEDICINA, </w:t>
      </w:r>
      <w:r>
        <w:rPr>
          <w:rStyle w:val="None"/>
          <w:rFonts w:ascii="Arial Narrow" w:hAnsi="Arial Narrow"/>
          <w:i w:val="1"/>
          <w:iCs w:val="1"/>
          <w:sz w:val="20"/>
          <w:szCs w:val="20"/>
          <w:rtl w:val="0"/>
          <w:lang w:val="en-US"/>
        </w:rPr>
        <w:t xml:space="preserve">2023, </w:t>
      </w:r>
      <w:r>
        <w:rPr>
          <w:rStyle w:val="None"/>
          <w:rFonts w:ascii="Arial Narrow" w:hAnsi="Arial Narrow"/>
          <w:i w:val="1"/>
          <w:iCs w:val="1"/>
          <w:sz w:val="20"/>
          <w:szCs w:val="20"/>
          <w:rtl w:val="0"/>
          <w:lang w:val="en-US"/>
        </w:rPr>
        <w:t xml:space="preserve">vol 59(6), 1137-1140, </w:t>
      </w:r>
      <w:r>
        <w:rPr>
          <w:rStyle w:val="None"/>
          <w:rFonts w:ascii="Arial Narrow" w:hAnsi="Arial Narrow"/>
          <w:sz w:val="20"/>
          <w:szCs w:val="20"/>
          <w:rtl w:val="0"/>
          <w:lang w:val="en-US"/>
        </w:rPr>
        <w:t>doi 10.3390/medicina59061137 FI 2,4</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 xml:space="preserve">Marusca LM, Reddy G, Blaj M, Prathipati R, Rosca O, Brotosin F, Bogdan I, </w:t>
      </w:r>
      <w:r>
        <w:rPr>
          <w:rStyle w:val="None"/>
          <w:rFonts w:ascii="Arial Narrow" w:hAnsi="Arial Narrow"/>
          <w:b w:val="1"/>
          <w:bCs w:val="1"/>
          <w:sz w:val="20"/>
          <w:szCs w:val="20"/>
          <w:rtl w:val="0"/>
          <w:lang w:val="en-US"/>
        </w:rPr>
        <w:t>Horhat RM</w:t>
      </w:r>
      <w:r>
        <w:rPr>
          <w:rStyle w:val="None"/>
          <w:rFonts w:ascii="Arial Narrow" w:hAnsi="Arial Narrow"/>
          <w:sz w:val="20"/>
          <w:szCs w:val="20"/>
          <w:rtl w:val="0"/>
          <w:lang w:val="en-US"/>
        </w:rPr>
        <w:t xml:space="preserve">, Tapos G, Marti D,  Susan M, Horhat FG, Adelina M, </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The Effects of Vitamin D Supplementation on REspiratory Infections in Children under 6 Years Old : A Systemic REview</w:t>
      </w:r>
      <w:r>
        <w:rPr>
          <w:rStyle w:val="None"/>
          <w:rFonts w:ascii="Arial Narrow" w:hAnsi="Arial Narrow" w:hint="default"/>
          <w:sz w:val="20"/>
          <w:szCs w:val="20"/>
          <w:rtl w:val="0"/>
          <w:lang w:val="en-US"/>
        </w:rPr>
        <w:t xml:space="preserve">” </w:t>
      </w:r>
      <w:r>
        <w:rPr>
          <w:rStyle w:val="None"/>
          <w:rFonts w:ascii="Arial Narrow" w:hAnsi="Arial Narrow"/>
          <w:i w:val="1"/>
          <w:iCs w:val="1"/>
          <w:sz w:val="20"/>
          <w:szCs w:val="20"/>
          <w:rtl w:val="0"/>
          <w:lang w:val="en-US"/>
        </w:rPr>
        <w:t xml:space="preserve">DISEASES, </w:t>
      </w:r>
      <w:r>
        <w:rPr>
          <w:rStyle w:val="None"/>
          <w:rFonts w:ascii="Arial Narrow" w:hAnsi="Arial Narrow"/>
          <w:b w:val="1"/>
          <w:bCs w:val="1"/>
          <w:sz w:val="20"/>
          <w:szCs w:val="20"/>
          <w:rtl w:val="0"/>
          <w:lang w:val="en-US"/>
        </w:rPr>
        <w:t>2023</w:t>
      </w:r>
      <w:r>
        <w:rPr>
          <w:rStyle w:val="None"/>
          <w:rFonts w:ascii="Arial Narrow" w:hAnsi="Arial Narrow"/>
          <w:sz w:val="20"/>
          <w:szCs w:val="20"/>
          <w:rtl w:val="0"/>
          <w:lang w:val="en-US"/>
        </w:rPr>
        <w:t>, vol 11(3), 104-107, doi 10.3390/diseases11030104 FI 3</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 xml:space="preserve">Lorenzo VD, Gohil NV, Lamo P, GuraqjalaS S, Bagiu I, Vulcanescu D, Horhat F, Sorop V, Sorop M, Oprisoni A, </w:t>
      </w:r>
      <w:r>
        <w:rPr>
          <w:rStyle w:val="None"/>
          <w:rFonts w:ascii="Arial Narrow" w:hAnsi="Arial Narrow"/>
          <w:b w:val="1"/>
          <w:bCs w:val="1"/>
          <w:sz w:val="20"/>
          <w:szCs w:val="20"/>
          <w:rtl w:val="0"/>
          <w:lang w:val="en-US"/>
        </w:rPr>
        <w:t>Horhat R</w:t>
      </w:r>
      <w:r>
        <w:rPr>
          <w:rStyle w:val="None"/>
          <w:rFonts w:ascii="Arial Narrow" w:hAnsi="Arial Narrow"/>
          <w:sz w:val="20"/>
          <w:szCs w:val="20"/>
          <w:rtl w:val="0"/>
          <w:lang w:val="en-US"/>
        </w:rPr>
        <w:t xml:space="preserve">, Susan M, </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Innovative Biosensing Approaches for Swift Identification of Candida Species, Intrusive Pathogenic Organisms</w:t>
      </w:r>
      <w:r>
        <w:rPr>
          <w:rStyle w:val="None"/>
          <w:rFonts w:ascii="Arial Narrow" w:hAnsi="Arial Narrow" w:hint="default"/>
          <w:sz w:val="20"/>
          <w:szCs w:val="20"/>
          <w:rtl w:val="0"/>
          <w:lang w:val="en-US"/>
        </w:rPr>
        <w:t xml:space="preserve">” </w:t>
      </w:r>
      <w:r>
        <w:rPr>
          <w:rStyle w:val="None"/>
          <w:rFonts w:ascii="Arial Narrow" w:hAnsi="Arial Narrow"/>
          <w:i w:val="1"/>
          <w:iCs w:val="1"/>
          <w:sz w:val="20"/>
          <w:szCs w:val="20"/>
          <w:rtl w:val="0"/>
          <w:lang w:val="en-US"/>
        </w:rPr>
        <w:t xml:space="preserve">LIFE, </w:t>
      </w:r>
      <w:r>
        <w:rPr>
          <w:rStyle w:val="None"/>
          <w:rFonts w:ascii="Arial Narrow" w:hAnsi="Arial Narrow"/>
          <w:b w:val="1"/>
          <w:bCs w:val="1"/>
          <w:sz w:val="20"/>
          <w:szCs w:val="20"/>
          <w:rtl w:val="0"/>
          <w:lang w:val="en-US"/>
        </w:rPr>
        <w:t>2023</w:t>
      </w:r>
      <w:r>
        <w:rPr>
          <w:rStyle w:val="None"/>
          <w:rFonts w:ascii="Arial Narrow" w:hAnsi="Arial Narrow"/>
          <w:sz w:val="20"/>
          <w:szCs w:val="20"/>
          <w:rtl w:val="0"/>
          <w:lang w:val="en-US"/>
        </w:rPr>
        <w:t>, vol 13( 10), 2099, doi 10.3390/life13102099 , FI 3,4</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 xml:space="preserve">Cirdei M, Margan M, Margan M, Ban-Cucerzan A, Petre I, Hulka I, </w:t>
      </w:r>
      <w:r>
        <w:rPr>
          <w:rStyle w:val="None"/>
          <w:rFonts w:ascii="Arial Narrow" w:hAnsi="Arial Narrow"/>
          <w:b w:val="1"/>
          <w:bCs w:val="1"/>
          <w:sz w:val="20"/>
          <w:szCs w:val="20"/>
          <w:rtl w:val="0"/>
          <w:lang w:val="en-US"/>
        </w:rPr>
        <w:t>Horhat R</w:t>
      </w:r>
      <w:r>
        <w:rPr>
          <w:rStyle w:val="None"/>
          <w:rFonts w:ascii="Arial Narrow" w:hAnsi="Arial Narrow"/>
          <w:sz w:val="20"/>
          <w:szCs w:val="20"/>
          <w:rtl w:val="0"/>
          <w:lang w:val="en-US"/>
        </w:rPr>
        <w:t xml:space="preserve">, Todean C, </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Surface and Mineral Changes of Primary Enamel after Laser Diode Irradiation and Application of REmineralization Agents: A comparative In Vitro Study</w:t>
      </w:r>
      <w:r>
        <w:rPr>
          <w:rStyle w:val="None"/>
          <w:rFonts w:ascii="Arial Narrow" w:hAnsi="Arial Narrow" w:hint="default"/>
          <w:sz w:val="20"/>
          <w:szCs w:val="20"/>
          <w:rtl w:val="0"/>
          <w:lang w:val="en-US"/>
        </w:rPr>
        <w:t xml:space="preserve">” </w:t>
      </w:r>
      <w:r>
        <w:rPr>
          <w:rStyle w:val="None"/>
          <w:rFonts w:ascii="Arial Narrow" w:hAnsi="Arial Narrow"/>
          <w:i w:val="1"/>
          <w:iCs w:val="1"/>
          <w:sz w:val="20"/>
          <w:szCs w:val="20"/>
          <w:rtl w:val="0"/>
          <w:lang w:val="en-US"/>
        </w:rPr>
        <w:t xml:space="preserve">CHILDREN, </w:t>
      </w:r>
      <w:r>
        <w:rPr>
          <w:rStyle w:val="None"/>
          <w:rFonts w:ascii="Arial Narrow" w:hAnsi="Arial Narrow"/>
          <w:b w:val="1"/>
          <w:bCs w:val="1"/>
          <w:sz w:val="20"/>
          <w:szCs w:val="20"/>
          <w:rtl w:val="0"/>
          <w:lang w:val="en-US"/>
        </w:rPr>
        <w:t xml:space="preserve">2024, </w:t>
      </w:r>
      <w:r>
        <w:rPr>
          <w:rStyle w:val="None"/>
          <w:rFonts w:ascii="Arial Narrow" w:hAnsi="Arial Narrow"/>
          <w:sz w:val="20"/>
          <w:szCs w:val="20"/>
          <w:rtl w:val="0"/>
          <w:lang w:val="en-US"/>
        </w:rPr>
        <w:t>vol 11(9), 1069, doi 10.3390/children11091069 , FI 2,1</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 xml:space="preserve">Tanase E, Marusca L, Horhat F, Susan M, Susan R, </w:t>
      </w:r>
      <w:r>
        <w:rPr>
          <w:rStyle w:val="None"/>
          <w:rFonts w:ascii="Arial Narrow" w:hAnsi="Arial Narrow"/>
          <w:b w:val="1"/>
          <w:bCs w:val="1"/>
          <w:sz w:val="20"/>
          <w:szCs w:val="20"/>
          <w:rtl w:val="0"/>
          <w:lang w:val="en-US"/>
        </w:rPr>
        <w:t>Horhat R</w:t>
      </w:r>
      <w:r>
        <w:rPr>
          <w:rStyle w:val="None"/>
          <w:rFonts w:ascii="Arial Narrow" w:hAnsi="Arial Narrow"/>
          <w:sz w:val="20"/>
          <w:szCs w:val="20"/>
          <w:rtl w:val="0"/>
          <w:lang w:val="en-US"/>
        </w:rPr>
        <w:t xml:space="preserve">, Dinu S, Dragomir T, Tanasescu S, </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Assessing the Impact of Vitamin D Supplementation on Respiratory Infections in Chlidren and Adolescents: A Cross-Sectional Study</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 xml:space="preserve">, </w:t>
      </w:r>
      <w:r>
        <w:rPr>
          <w:rStyle w:val="None"/>
          <w:rFonts w:ascii="Arial Narrow" w:hAnsi="Arial Narrow"/>
          <w:i w:val="1"/>
          <w:iCs w:val="1"/>
          <w:sz w:val="20"/>
          <w:szCs w:val="20"/>
          <w:rtl w:val="0"/>
          <w:lang w:val="en-US"/>
        </w:rPr>
        <w:t xml:space="preserve">NUTRIENTS, </w:t>
      </w:r>
      <w:r>
        <w:rPr>
          <w:rStyle w:val="None"/>
          <w:rFonts w:ascii="Arial Narrow" w:hAnsi="Arial Narrow"/>
          <w:b w:val="1"/>
          <w:bCs w:val="1"/>
          <w:sz w:val="20"/>
          <w:szCs w:val="20"/>
          <w:rtl w:val="0"/>
          <w:lang w:val="en-US"/>
        </w:rPr>
        <w:t xml:space="preserve">2024, </w:t>
      </w:r>
      <w:r>
        <w:rPr>
          <w:rStyle w:val="None"/>
          <w:rFonts w:ascii="Arial Narrow" w:hAnsi="Arial Narrow"/>
          <w:sz w:val="20"/>
          <w:szCs w:val="20"/>
          <w:rtl w:val="0"/>
          <w:lang w:val="en-US"/>
        </w:rPr>
        <w:t>vol 16 (22), 3353, doi 10.3390/nu16223953. FI 5</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 xml:space="preserve">Vulcanescu D, Bagiu I, Avram C, Oprisoni L, Tanasescu S, Sorescu T, Susan R, Susan M, Sorop V, Diaconu M, Dragomir T, Harich O, </w:t>
      </w:r>
      <w:r>
        <w:rPr>
          <w:rStyle w:val="None"/>
          <w:rFonts w:ascii="Arial Narrow" w:hAnsi="Arial Narrow"/>
          <w:b w:val="1"/>
          <w:bCs w:val="1"/>
          <w:sz w:val="20"/>
          <w:szCs w:val="20"/>
          <w:rtl w:val="0"/>
          <w:lang w:val="en-US"/>
        </w:rPr>
        <w:t>Horhat R,</w:t>
      </w:r>
      <w:r>
        <w:rPr>
          <w:rStyle w:val="None"/>
          <w:rFonts w:ascii="Arial Narrow" w:hAnsi="Arial Narrow"/>
          <w:sz w:val="20"/>
          <w:szCs w:val="20"/>
          <w:rtl w:val="0"/>
          <w:lang w:val="en-US"/>
        </w:rPr>
        <w:t xml:space="preserve"> Dinu S, Horhat F. </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Bacterial Infections, Trends and Resistance Patterns in the Time of COVID-19 Pandemic in Romania- A systemic Review</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 xml:space="preserve">, </w:t>
      </w:r>
      <w:r>
        <w:rPr>
          <w:rStyle w:val="None"/>
          <w:rFonts w:ascii="Arial Narrow" w:hAnsi="Arial Narrow"/>
          <w:i w:val="1"/>
          <w:iCs w:val="1"/>
          <w:sz w:val="20"/>
          <w:szCs w:val="20"/>
          <w:rtl w:val="0"/>
          <w:lang w:val="en-US"/>
        </w:rPr>
        <w:t xml:space="preserve">ANTIBIOTICS, </w:t>
      </w:r>
      <w:r>
        <w:rPr>
          <w:rStyle w:val="None"/>
          <w:rFonts w:ascii="Arial Narrow" w:hAnsi="Arial Narrow"/>
          <w:b w:val="1"/>
          <w:bCs w:val="1"/>
          <w:sz w:val="20"/>
          <w:szCs w:val="20"/>
          <w:rtl w:val="0"/>
          <w:lang w:val="en-US"/>
        </w:rPr>
        <w:t xml:space="preserve">2024, </w:t>
      </w:r>
      <w:r>
        <w:rPr>
          <w:rStyle w:val="None"/>
          <w:rFonts w:ascii="Arial Narrow" w:hAnsi="Arial Narrow"/>
          <w:sz w:val="20"/>
          <w:szCs w:val="20"/>
          <w:rtl w:val="0"/>
          <w:lang w:val="en-US"/>
        </w:rPr>
        <w:t>vol 13 (12), 1219, doi 10.3990/antibiotics13121219 FI 4,6</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 xml:space="preserve">Nica L, Abuabboud O, Zavolan D, Marinescu A, Cotulbea A, Velea-Barta O, </w:t>
      </w:r>
      <w:r>
        <w:rPr>
          <w:rStyle w:val="None"/>
          <w:rFonts w:ascii="Arial Narrow" w:hAnsi="Arial Narrow"/>
          <w:b w:val="1"/>
          <w:bCs w:val="1"/>
          <w:sz w:val="20"/>
          <w:szCs w:val="20"/>
          <w:rtl w:val="0"/>
          <w:lang w:val="en-US"/>
        </w:rPr>
        <w:t>Horhat R,</w:t>
      </w:r>
      <w:r>
        <w:rPr>
          <w:rStyle w:val="None"/>
          <w:rFonts w:ascii="Arial Narrow" w:hAnsi="Arial Narrow"/>
          <w:sz w:val="20"/>
          <w:szCs w:val="20"/>
          <w:rtl w:val="0"/>
          <w:lang w:val="en-US"/>
        </w:rPr>
        <w:t xml:space="preserve"> Paven M, Cirligeriu L, </w:t>
      </w:r>
      <w:r>
        <w:rPr>
          <w:rStyle w:val="None"/>
          <w:rFonts w:ascii="Arial Narrow" w:hAnsi="Arial Narrow" w:hint="default"/>
          <w:sz w:val="20"/>
          <w:szCs w:val="20"/>
          <w:rtl w:val="0"/>
          <w:lang w:val="en-US"/>
        </w:rPr>
        <w:t xml:space="preserve">“ </w:t>
      </w:r>
      <w:r>
        <w:rPr>
          <w:rStyle w:val="None"/>
          <w:rFonts w:ascii="Arial Narrow" w:hAnsi="Arial Narrow"/>
          <w:sz w:val="20"/>
          <w:szCs w:val="20"/>
          <w:rtl w:val="0"/>
          <w:lang w:val="en-US"/>
        </w:rPr>
        <w:t>Quantitative Assessment of The Apically Extruded Debris Using Wavw One Gold and Protaper Next in Root Canal Shaping</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 xml:space="preserve">, </w:t>
      </w:r>
      <w:r>
        <w:rPr>
          <w:rStyle w:val="None"/>
          <w:rFonts w:ascii="Arial Narrow" w:hAnsi="Arial Narrow"/>
          <w:i w:val="1"/>
          <w:iCs w:val="1"/>
          <w:sz w:val="20"/>
          <w:szCs w:val="20"/>
          <w:rtl w:val="0"/>
          <w:lang w:val="en-US"/>
        </w:rPr>
        <w:t xml:space="preserve">Romanian Journal Of Oral Rehabilitation, </w:t>
      </w:r>
      <w:r>
        <w:rPr>
          <w:rStyle w:val="None"/>
          <w:rFonts w:ascii="Arial Narrow" w:hAnsi="Arial Narrow"/>
          <w:b w:val="1"/>
          <w:bCs w:val="1"/>
          <w:sz w:val="20"/>
          <w:szCs w:val="20"/>
          <w:rtl w:val="0"/>
          <w:lang w:val="en-US"/>
        </w:rPr>
        <w:t>2025</w:t>
      </w:r>
      <w:r>
        <w:rPr>
          <w:rStyle w:val="None"/>
          <w:rFonts w:ascii="Arial Narrow" w:hAnsi="Arial Narrow"/>
          <w:sz w:val="20"/>
          <w:szCs w:val="20"/>
          <w:rtl w:val="0"/>
          <w:lang w:val="en-US"/>
        </w:rPr>
        <w:t>, Vol 17 (1) 12-21 doi 10.62610/RJOR.2025.1.17.1</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 xml:space="preserve">Dragomir T, Andor M, Daliu P, Varga N, Susan R, </w:t>
      </w:r>
      <w:r>
        <w:rPr>
          <w:rStyle w:val="None"/>
          <w:rFonts w:ascii="Arial Narrow" w:hAnsi="Arial Narrow"/>
          <w:b w:val="1"/>
          <w:bCs w:val="1"/>
          <w:sz w:val="20"/>
          <w:szCs w:val="20"/>
          <w:rtl w:val="0"/>
          <w:lang w:val="en-US"/>
        </w:rPr>
        <w:t>HorhatR</w:t>
      </w:r>
      <w:r>
        <w:rPr>
          <w:rStyle w:val="None"/>
          <w:rFonts w:ascii="Arial Narrow" w:hAnsi="Arial Narrow"/>
          <w:sz w:val="20"/>
          <w:szCs w:val="20"/>
          <w:rtl w:val="0"/>
          <w:lang w:val="en-US"/>
        </w:rPr>
        <w:t xml:space="preserve">, Nicolescu L, </w:t>
      </w:r>
      <w:r>
        <w:rPr>
          <w:rStyle w:val="None"/>
          <w:rFonts w:ascii="Arial Narrow" w:hAnsi="Arial Narrow" w:hint="default"/>
          <w:sz w:val="20"/>
          <w:szCs w:val="20"/>
          <w:rtl w:val="0"/>
          <w:lang w:val="en-US"/>
        </w:rPr>
        <w:t xml:space="preserve">“ </w:t>
      </w:r>
      <w:r>
        <w:rPr>
          <w:rStyle w:val="None"/>
          <w:rFonts w:ascii="Arial Narrow" w:hAnsi="Arial Narrow"/>
          <w:sz w:val="20"/>
          <w:szCs w:val="20"/>
          <w:rtl w:val="0"/>
          <w:lang w:val="en-US"/>
        </w:rPr>
        <w:t>Three-Year Echocardiographic Follw-up in Outpatients with Systemic Arterial Hypertension : An Obseervational Cohort Study</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 xml:space="preserve">, JOURNAL OF CLINICAL MEDICINE , </w:t>
      </w:r>
      <w:r>
        <w:rPr>
          <w:rStyle w:val="None"/>
          <w:rFonts w:ascii="Arial Narrow" w:hAnsi="Arial Narrow"/>
          <w:b w:val="1"/>
          <w:bCs w:val="1"/>
          <w:sz w:val="20"/>
          <w:szCs w:val="20"/>
          <w:rtl w:val="0"/>
          <w:lang w:val="en-US"/>
        </w:rPr>
        <w:t>2025</w:t>
      </w:r>
      <w:r>
        <w:rPr>
          <w:rStyle w:val="None"/>
          <w:rFonts w:ascii="Arial Narrow" w:hAnsi="Arial Narrow"/>
          <w:sz w:val="20"/>
          <w:szCs w:val="20"/>
          <w:rtl w:val="0"/>
          <w:lang w:val="en-US"/>
        </w:rPr>
        <w:t>, vol 15 (16), doi 10.3390/jcm14165812 FI 2,9</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b w:val="1"/>
          <w:bCs w:val="1"/>
          <w:sz w:val="20"/>
          <w:szCs w:val="20"/>
          <w:rtl w:val="0"/>
          <w:lang w:val="en-US"/>
        </w:rPr>
        <w:t>Horhat R</w:t>
      </w:r>
      <w:r>
        <w:rPr>
          <w:rStyle w:val="None"/>
          <w:rFonts w:ascii="Arial Narrow" w:hAnsi="Arial Narrow"/>
          <w:sz w:val="20"/>
          <w:szCs w:val="20"/>
          <w:rtl w:val="0"/>
          <w:lang w:val="en-US"/>
        </w:rPr>
        <w:t xml:space="preserve">, Alexandru A, Ivan C, Varga N, Suba M, Ciurariu E, Susan M, Susan R, Cote A, </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Nutritional and Supplemental Interventions for Prevention and Treatment of Oral Mucositis in Pediatric Oncology</w:t>
      </w:r>
      <w:r>
        <w:rPr>
          <w:rStyle w:val="None"/>
          <w:rFonts w:ascii="Arial Narrow" w:hAnsi="Arial Narrow" w:hint="default"/>
          <w:sz w:val="20"/>
          <w:szCs w:val="20"/>
          <w:rtl w:val="0"/>
          <w:lang w:val="en-US"/>
        </w:rPr>
        <w:t xml:space="preserve">” </w:t>
      </w:r>
      <w:r>
        <w:rPr>
          <w:rStyle w:val="None"/>
          <w:rFonts w:ascii="Arial Narrow" w:hAnsi="Arial Narrow"/>
          <w:i w:val="1"/>
          <w:iCs w:val="1"/>
          <w:sz w:val="20"/>
          <w:szCs w:val="20"/>
          <w:rtl w:val="0"/>
          <w:lang w:val="en-US"/>
        </w:rPr>
        <w:t>NUTRIENTS,</w:t>
      </w:r>
      <w:r>
        <w:rPr>
          <w:rStyle w:val="None"/>
          <w:rFonts w:ascii="Arial Narrow" w:hAnsi="Arial Narrow"/>
          <w:sz w:val="20"/>
          <w:szCs w:val="20"/>
          <w:rtl w:val="0"/>
          <w:lang w:val="en-US"/>
        </w:rPr>
        <w:t xml:space="preserve"> </w:t>
      </w:r>
      <w:r>
        <w:rPr>
          <w:rStyle w:val="None"/>
          <w:rFonts w:ascii="Arial Narrow" w:hAnsi="Arial Narrow"/>
          <w:b w:val="1"/>
          <w:bCs w:val="1"/>
          <w:sz w:val="20"/>
          <w:szCs w:val="20"/>
          <w:rtl w:val="0"/>
          <w:lang w:val="en-US"/>
        </w:rPr>
        <w:t>2025</w:t>
      </w:r>
      <w:r>
        <w:rPr>
          <w:rStyle w:val="None"/>
          <w:rFonts w:ascii="Arial Narrow" w:hAnsi="Arial Narrow"/>
          <w:sz w:val="20"/>
          <w:szCs w:val="20"/>
          <w:rtl w:val="0"/>
          <w:lang w:val="en-US"/>
        </w:rPr>
        <w:t>, vol 17 (22), 3521, doi 10.3390/nu17223521 FI 5</w:t>
      </w:r>
    </w:p>
    <w:p>
      <w:pPr>
        <w:pStyle w:val="List Paragraph1"/>
        <w:numPr>
          <w:ilvl w:val="0"/>
          <w:numId w:val="3"/>
        </w:numPr>
        <w:suppressAutoHyphens w:val="1"/>
        <w:bidi w:val="0"/>
        <w:ind w:right="113"/>
        <w:jc w:val="left"/>
        <w:rPr>
          <w:rFonts w:ascii="Arial Narrow" w:hAnsi="Arial Narrow"/>
          <w:sz w:val="20"/>
          <w:szCs w:val="20"/>
          <w:rtl w:val="0"/>
          <w:lang w:val="en-US"/>
        </w:rPr>
      </w:pPr>
      <w:r>
        <w:rPr>
          <w:rStyle w:val="None"/>
          <w:rFonts w:ascii="Arial Narrow" w:hAnsi="Arial Narrow"/>
          <w:sz w:val="20"/>
          <w:szCs w:val="20"/>
          <w:rtl w:val="0"/>
          <w:lang w:val="en-US"/>
        </w:rPr>
        <w:t xml:space="preserve">Dinu S, Igna A, Petrescu E, Braila E, Dinu D, </w:t>
      </w:r>
      <w:r>
        <w:rPr>
          <w:rStyle w:val="None"/>
          <w:rFonts w:ascii="Arial Narrow" w:hAnsi="Arial Narrow"/>
          <w:b w:val="1"/>
          <w:bCs w:val="1"/>
          <w:sz w:val="20"/>
          <w:szCs w:val="20"/>
          <w:rtl w:val="0"/>
          <w:lang w:val="en-US"/>
        </w:rPr>
        <w:t>Horhat R</w:t>
      </w:r>
      <w:r>
        <w:rPr>
          <w:rStyle w:val="None"/>
          <w:rFonts w:ascii="Arial Narrow" w:hAnsi="Arial Narrow"/>
          <w:sz w:val="20"/>
          <w:szCs w:val="20"/>
          <w:rtl w:val="0"/>
          <w:lang w:val="en-US"/>
        </w:rPr>
        <w:t xml:space="preserve">, Mihai C, Traila I, Nica D, Popa M, </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Timing of Orthodontic Intervention for Pediatric Class II Malocclusion : A systemic Review on Early vs Late Treatment Outcome</w:t>
      </w:r>
      <w:r>
        <w:rPr>
          <w:rStyle w:val="None"/>
          <w:rFonts w:ascii="Arial Narrow" w:hAnsi="Arial Narrow" w:hint="default"/>
          <w:sz w:val="20"/>
          <w:szCs w:val="20"/>
          <w:rtl w:val="0"/>
          <w:lang w:val="en-US"/>
        </w:rPr>
        <w:t>”</w:t>
      </w:r>
      <w:r>
        <w:rPr>
          <w:rStyle w:val="None"/>
          <w:rFonts w:ascii="Arial Narrow" w:hAnsi="Arial Narrow"/>
          <w:sz w:val="20"/>
          <w:szCs w:val="20"/>
          <w:rtl w:val="0"/>
          <w:lang w:val="en-US"/>
        </w:rPr>
        <w:t xml:space="preserve">, </w:t>
      </w:r>
      <w:r>
        <w:rPr>
          <w:rStyle w:val="None"/>
          <w:rFonts w:ascii="Arial Narrow" w:hAnsi="Arial Narrow"/>
          <w:i w:val="1"/>
          <w:iCs w:val="1"/>
          <w:sz w:val="20"/>
          <w:szCs w:val="20"/>
          <w:rtl w:val="0"/>
          <w:lang w:val="en-US"/>
        </w:rPr>
        <w:t>CHILDREN</w:t>
      </w:r>
      <w:r>
        <w:rPr>
          <w:rStyle w:val="None"/>
          <w:rFonts w:ascii="Arial Narrow" w:hAnsi="Arial Narrow"/>
          <w:sz w:val="20"/>
          <w:szCs w:val="20"/>
          <w:rtl w:val="0"/>
          <w:lang w:val="en-US"/>
        </w:rPr>
        <w:t>, 2025, vol 12 (11), 1533, doi 10.3390/children12111533 , FI 2,1</w:t>
      </w:r>
    </w:p>
    <w:p>
      <w:pPr>
        <w:pStyle w:val="Normal.0"/>
        <w:widowControl w:val="0"/>
        <w:spacing w:line="320" w:lineRule="atLeast"/>
        <w:rPr>
          <w:rStyle w:val="None"/>
        </w:rPr>
      </w:pPr>
    </w:p>
    <w:p>
      <w:pPr>
        <w:pStyle w:val="Normal.0"/>
        <w:widowControl w:val="0"/>
        <w:spacing w:line="320" w:lineRule="atLeast"/>
        <w:rPr>
          <w:rStyle w:val="None"/>
        </w:rPr>
      </w:pPr>
    </w:p>
    <w:p>
      <w:pPr>
        <w:pStyle w:val="Normal.0"/>
        <w:widowControl w:val="0"/>
        <w:spacing w:line="320" w:lineRule="atLeast"/>
        <w:rPr>
          <w:rStyle w:val="None"/>
        </w:rPr>
      </w:pPr>
    </w:p>
    <w:p>
      <w:pPr>
        <w:pStyle w:val="Normal.0"/>
        <w:widowControl w:val="0"/>
        <w:spacing w:line="320" w:lineRule="atLeast"/>
        <w:rPr>
          <w:rStyle w:val="None"/>
        </w:rPr>
      </w:pPr>
    </w:p>
    <w:p>
      <w:pPr>
        <w:pStyle w:val="Normal.0"/>
        <w:tabs>
          <w:tab w:val="left" w:pos="142"/>
        </w:tabs>
        <w:spacing w:line="320" w:lineRule="atLeast"/>
        <w:jc w:val="both"/>
        <w:rPr>
          <w:rStyle w:val="None"/>
          <w:b w:val="1"/>
          <w:bCs w:val="1"/>
          <w:spacing w:val="0"/>
        </w:rPr>
      </w:pPr>
      <w:r>
        <w:rPr>
          <w:rStyle w:val="None"/>
          <w:b w:val="1"/>
          <w:bCs w:val="1"/>
          <w:spacing w:val="0"/>
          <w:rtl w:val="0"/>
        </w:rPr>
        <w:tab/>
        <w:tab/>
        <w:t>Data:</w:t>
        <w:tab/>
      </w:r>
      <w:r>
        <w:rPr>
          <w:rStyle w:val="None"/>
          <w:b w:val="1"/>
          <w:bCs w:val="1"/>
          <w:spacing w:val="0"/>
          <w:rtl w:val="0"/>
        </w:rPr>
        <w:t>7.05.2026</w:t>
      </w:r>
      <w:r>
        <w:rPr>
          <w:rStyle w:val="None"/>
          <w:b w:val="1"/>
          <w:bCs w:val="1"/>
          <w:spacing w:val="0"/>
          <w:rtl w:val="0"/>
        </w:rPr>
        <w:tab/>
        <w:tab/>
        <w:tab/>
        <w:tab/>
        <w:tab/>
        <w:tab/>
        <w:t>Semn</w:t>
      </w:r>
      <w:r>
        <w:rPr>
          <w:rStyle w:val="None"/>
          <w:b w:val="1"/>
          <w:bCs w:val="1"/>
          <w:spacing w:val="0"/>
          <w:rtl w:val="0"/>
        </w:rPr>
        <w:t>ă</w:t>
      </w:r>
      <w:r>
        <w:rPr>
          <w:rStyle w:val="None"/>
          <w:b w:val="1"/>
          <w:bCs w:val="1"/>
          <w:spacing w:val="0"/>
          <w:rtl w:val="0"/>
        </w:rPr>
        <w:t>tura:</w:t>
      </w:r>
    </w:p>
    <w:p>
      <w:pPr>
        <w:pStyle w:val="Normal.0"/>
        <w:ind w:left="360" w:firstLine="0"/>
      </w:pPr>
      <w:r>
        <w:rPr>
          <w:rStyle w:val="None"/>
          <w:sz w:val="18"/>
          <w:szCs w:val="18"/>
        </w:rPr>
      </w:r>
    </w:p>
    <w:sectPr>
      <w:headerReference w:type="default" r:id="rId4"/>
      <w:footerReference w:type="default" r:id="rId5"/>
      <w:pgSz w:w="11900" w:h="16840" w:orient="portrait"/>
      <w:pgMar w:top="1134" w:right="964" w:bottom="1729" w:left="964"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rial Narro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473"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193"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913" w:hanging="27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33"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353"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073" w:hanging="27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793"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513"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233" w:hanging="27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ind w:left="47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1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913" w:hanging="2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63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35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073" w:hanging="2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7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51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233" w:hanging="271"/>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List Paragraph1">
    <w:name w:val="List Paragraph1"/>
    <w:next w:val="List Paragraph1"/>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Fill>
        <w14:solidFill>
          <w14:srgbClr w14:val="000000"/>
        </w14:solidFill>
      </w14:textFill>
    </w:rPr>
  </w:style>
  <w:style w:type="numbering" w:styleId="Imported Style 1">
    <w:name w:val="Imported Style 1"/>
    <w:pPr>
      <w:numPr>
        <w:numId w:val="1"/>
      </w:numPr>
    </w:pPr>
  </w:style>
  <w:style w:type="character" w:styleId="None">
    <w:name w:val="None"/>
  </w:style>
  <w:style w:type="character" w:styleId="Hyperlink.0">
    <w:name w:val="Hyperlink.0"/>
    <w:basedOn w:val="None"/>
    <w:next w:val="Hyperlink.0"/>
    <w:rPr>
      <w:u w:val="singl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