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5A549" w14:textId="77777777" w:rsidR="00EE2E98" w:rsidRDefault="00000000">
      <w:pPr>
        <w:spacing w:after="280"/>
        <w:jc w:val="center"/>
      </w:pPr>
      <w:r>
        <w:rPr>
          <w:noProof/>
        </w:rPr>
        <w:drawing>
          <wp:inline distT="0" distB="0" distL="0" distR="0" wp14:anchorId="2E88AD4D" wp14:editId="4C6D2E20">
            <wp:extent cx="3840480" cy="960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ft_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CC4A" w14:textId="4E7EEA8F" w:rsidR="00EE2E98" w:rsidRDefault="00000000">
      <w:pPr>
        <w:jc w:val="center"/>
      </w:pPr>
      <w:proofErr w:type="spellStart"/>
      <w:r>
        <w:rPr>
          <w:b/>
          <w:sz w:val="28"/>
        </w:rPr>
        <w:t>Candidat</w:t>
      </w:r>
      <w:proofErr w:type="spellEnd"/>
      <w:r>
        <w:rPr>
          <w:b/>
          <w:sz w:val="28"/>
        </w:rPr>
        <w:t>: Novăcescu (Cu</w:t>
      </w:r>
      <w:r w:rsidR="00856F8C">
        <w:rPr>
          <w:b/>
          <w:sz w:val="28"/>
          <w:lang w:val="ro-RO"/>
        </w:rPr>
        <w:t>ț</w:t>
      </w:r>
      <w:r>
        <w:rPr>
          <w:b/>
          <w:sz w:val="28"/>
        </w:rPr>
        <w:t>) Talida-Georgiana</w:t>
      </w:r>
    </w:p>
    <w:p w14:paraId="5E842CDD" w14:textId="77777777" w:rsidR="00EE2E98" w:rsidRPr="00856F8C" w:rsidRDefault="00000000">
      <w:pPr>
        <w:jc w:val="center"/>
        <w:rPr>
          <w:sz w:val="40"/>
          <w:szCs w:val="40"/>
        </w:rPr>
      </w:pPr>
      <w:r w:rsidRPr="00856F8C">
        <w:rPr>
          <w:b/>
          <w:sz w:val="40"/>
          <w:szCs w:val="40"/>
        </w:rPr>
        <w:t>Listă de lucrări științifice</w:t>
      </w:r>
    </w:p>
    <w:p w14:paraId="0FBA0F67" w14:textId="77777777" w:rsidR="00EE2E98" w:rsidRDefault="00000000">
      <w:pPr>
        <w:jc w:val="center"/>
      </w:pPr>
      <w:r>
        <w:rPr>
          <w:i/>
          <w:sz w:val="22"/>
        </w:rPr>
        <w:t>(Web of Science ResearcherID: ABF-6558-2021)</w:t>
      </w:r>
    </w:p>
    <w:p w14:paraId="6FED9238" w14:textId="77777777" w:rsidR="00EE2E98" w:rsidRDefault="00EE2E98"/>
    <w:p w14:paraId="080F6A34" w14:textId="77777777" w:rsidR="00EE2E98" w:rsidRDefault="00000000">
      <w:pPr>
        <w:spacing w:before="200" w:after="80"/>
      </w:pPr>
      <w:r>
        <w:rPr>
          <w:b/>
          <w:sz w:val="26"/>
        </w:rPr>
        <w:t>2026</w:t>
      </w:r>
    </w:p>
    <w:p w14:paraId="526A0A1B" w14:textId="77777777" w:rsidR="00EE2E98" w:rsidRDefault="00000000">
      <w:pPr>
        <w:spacing w:after="120"/>
        <w:jc w:val="both"/>
      </w:pPr>
      <w:r>
        <w:rPr>
          <w:b/>
        </w:rPr>
        <w:t xml:space="preserve">1. </w:t>
      </w:r>
      <w:r>
        <w:t xml:space="preserve">Baloi, A.; Sandesc, D.; </w:t>
      </w:r>
      <w:r>
        <w:rPr>
          <w:b/>
        </w:rPr>
        <w:t>Cut, T.G.</w:t>
      </w:r>
      <w:r>
        <w:t xml:space="preserve">; Caprariu, R.; Novacescu, D.; Dumitru, C.-S.; Barb, A.C.; Dumache, R.; Banov, P.; Birlutiu, V.; Lazureanu, V.E.; Zara, F. Predicting Hungry Bone Syndrome with Interpretable Machine Learning: A Single-Center Cohort of Dialysis Patients Undergoing Parathyroidectomy. Diagnostics 2026, 16, 1469. https://doi.org/10.3390/diagnostics16101469; ISSN: 2075-4418; </w:t>
      </w:r>
      <w:r>
        <w:rPr>
          <w:b/>
        </w:rPr>
        <w:t>FI: 3.3</w:t>
      </w:r>
      <w:r>
        <w:t>.</w:t>
      </w:r>
    </w:p>
    <w:p w14:paraId="49129702" w14:textId="77777777" w:rsidR="00EE2E98" w:rsidRDefault="00000000">
      <w:pPr>
        <w:spacing w:after="120"/>
        <w:jc w:val="both"/>
      </w:pPr>
      <w:r>
        <w:rPr>
          <w:b/>
        </w:rPr>
        <w:t xml:space="preserve">2. </w:t>
      </w:r>
      <w:r>
        <w:t xml:space="preserve">Luput-Andrica, I.M.; Marinescu, A.R.; </w:t>
      </w:r>
      <w:r>
        <w:rPr>
          <w:b/>
        </w:rPr>
        <w:t>Cut, T.G.</w:t>
      </w:r>
      <w:r>
        <w:t xml:space="preserve">; Herlo, A.; Laza, R.; Saizu, A.E.; Floruncut, A.C.; Nicolescu, N.; Jumanca, R.; Rosoha, D.I.; Lazureanu, V.E. Premature Skeletal Aging and Immunological Recovery in Romanian PLWH: A Cross-Sectional Analysis of Gender-Specific and Metabolic Risk Factors. Int. J. Mol. Sci. 2026, 27, 4079. https://doi.org/10.3390/ijms27094079; ISSN: 1422-0067; </w:t>
      </w:r>
      <w:r>
        <w:rPr>
          <w:b/>
        </w:rPr>
        <w:t>FI: 4.9</w:t>
      </w:r>
      <w:r>
        <w:t>.</w:t>
      </w:r>
    </w:p>
    <w:p w14:paraId="69380276" w14:textId="77777777" w:rsidR="00EE2E98" w:rsidRDefault="00000000">
      <w:pPr>
        <w:spacing w:after="120"/>
        <w:jc w:val="both"/>
      </w:pPr>
      <w:r>
        <w:rPr>
          <w:b/>
        </w:rPr>
        <w:t xml:space="preserve">3. </w:t>
      </w:r>
      <w:r>
        <w:t xml:space="preserve">Crisan, D.N.; </w:t>
      </w:r>
      <w:r>
        <w:rPr>
          <w:b/>
        </w:rPr>
        <w:t>Cut, T.G.</w:t>
      </w:r>
      <w:r>
        <w:t xml:space="preserve">; Herlo, A.; Deacu, S.; Herlo, L.F.; Ivanovic, N.; Neculai-Candea, L.S.; Nelson-Twakor, A.; Țapoș, G.F.; Dumache, R. Risk Stratification in Pulmonary Embolism: Prognostic Value of PESI, WELLS, PADUA, and IMPROVE Scores in Relation to Laboratory Markers. J. Clin. Med. 2026, 15, 3141. https://doi.org/10.3390/jcm15083141; ISSN: 2077-0383; </w:t>
      </w:r>
      <w:r>
        <w:rPr>
          <w:b/>
        </w:rPr>
        <w:t>FI: 3.0</w:t>
      </w:r>
      <w:r>
        <w:t>.</w:t>
      </w:r>
      <w:r>
        <w:rPr>
          <w:b/>
          <w:i/>
        </w:rPr>
        <w:t xml:space="preserve">  [contribuție egală]</w:t>
      </w:r>
    </w:p>
    <w:p w14:paraId="24C367CC" w14:textId="77777777" w:rsidR="00EE2E98" w:rsidRDefault="00000000">
      <w:pPr>
        <w:spacing w:after="120"/>
        <w:jc w:val="both"/>
      </w:pPr>
      <w:r>
        <w:rPr>
          <w:b/>
        </w:rPr>
        <w:t xml:space="preserve">4. </w:t>
      </w:r>
      <w:r>
        <w:t xml:space="preserve">Laza, R.; Luput-Andrica, I.M.; Marinescu, A.R.; </w:t>
      </w:r>
      <w:r>
        <w:rPr>
          <w:b/>
        </w:rPr>
        <w:t>Cut, T.G.</w:t>
      </w:r>
      <w:r>
        <w:t xml:space="preserve">; Herlo, A.; Saizu, A.E.; Floruncut, A.C.; Nicolescu, N.; Jumanca, R.; Rosoha, D.I.; Lazureanu, V.E.; Romosan, A.M. Clinical Predictors and Pathogen Resistance Dynamics in Hospitalized Patients with Urinary Tract Infections: A 2025 Institutional Study. Microorganisms 2026, 14, 916. https://doi.org/10.3390/microorganisms14040916; ISSN: 2076-2607; </w:t>
      </w:r>
      <w:r>
        <w:rPr>
          <w:b/>
        </w:rPr>
        <w:t>FI: 4.1</w:t>
      </w:r>
      <w:r>
        <w:t>.</w:t>
      </w:r>
    </w:p>
    <w:p w14:paraId="7771CB68" w14:textId="77777777" w:rsidR="00EE2E98" w:rsidRDefault="00000000">
      <w:pPr>
        <w:spacing w:after="120"/>
        <w:jc w:val="both"/>
      </w:pPr>
      <w:r>
        <w:rPr>
          <w:b/>
        </w:rPr>
        <w:t xml:space="preserve">5. </w:t>
      </w:r>
      <w:r>
        <w:t xml:space="preserve">Crisan, D.N.; </w:t>
      </w:r>
      <w:r>
        <w:rPr>
          <w:b/>
        </w:rPr>
        <w:t>Cut, T.G.</w:t>
      </w:r>
      <w:r>
        <w:t xml:space="preserve">; Herlo, L.F.; Ivanovic, N.; Herlo, A.; Alexandrescu, L.; Sălcudean, A.; Dumache, R. Artificial Intelligence in Venous Thromboembolism Prevention: A Narrative Review of Machine Learning, Deep Learning, and Natural Language Processing. J. Cardiovasc. Dev. Dis. 2026, 13, 119. https://doi.org/10.3390/jcdd13030119; ISSN: 2308-3425; </w:t>
      </w:r>
      <w:r>
        <w:rPr>
          <w:b/>
        </w:rPr>
        <w:t>FI: 2.4</w:t>
      </w:r>
      <w:r>
        <w:t>.</w:t>
      </w:r>
      <w:r>
        <w:rPr>
          <w:b/>
          <w:i/>
        </w:rPr>
        <w:t xml:space="preserve">  [contribuție egală]</w:t>
      </w:r>
    </w:p>
    <w:p w14:paraId="63954DDD" w14:textId="77777777" w:rsidR="00EE2E98" w:rsidRDefault="00000000">
      <w:pPr>
        <w:spacing w:after="120"/>
        <w:jc w:val="both"/>
      </w:pPr>
      <w:r>
        <w:rPr>
          <w:b/>
        </w:rPr>
        <w:lastRenderedPageBreak/>
        <w:t xml:space="preserve">6. </w:t>
      </w:r>
      <w:r>
        <w:t xml:space="preserve">Novacescu, D.; Baloi, A.; Latcu, S.; Zara, F.; Sandesc, D.; Dumitru, C.-S.; Condoiu, C.; Bardan, R.; Dema, V.; Caprariu, R.; </w:t>
      </w:r>
      <w:r>
        <w:rPr>
          <w:b/>
        </w:rPr>
        <w:t>Cut, T.G.</w:t>
      </w:r>
      <w:r>
        <w:t xml:space="preserve">; Cumpanas, A. Open Surgical Management of Renal Cell Carcinoma with Infradiaphragmatic Venous Tumor Thrombus (Mayo Levels 0–III): The Epitome of Surgical Self-Reliance in Urology. Cancers 2026, 18, 1080. https://doi.org/10.3390/cancers18071080; ISSN: 2072-6694; </w:t>
      </w:r>
      <w:r>
        <w:rPr>
          <w:b/>
        </w:rPr>
        <w:t>FI: 4.4</w:t>
      </w:r>
      <w:r>
        <w:t>.</w:t>
      </w:r>
    </w:p>
    <w:p w14:paraId="71D90581" w14:textId="77777777" w:rsidR="00EE2E98" w:rsidRDefault="00000000">
      <w:pPr>
        <w:spacing w:after="120"/>
        <w:jc w:val="both"/>
      </w:pPr>
      <w:r>
        <w:rPr>
          <w:b/>
        </w:rPr>
        <w:t xml:space="preserve">7. </w:t>
      </w:r>
      <w:r>
        <w:t xml:space="preserve">Novacescu, D.; </w:t>
      </w:r>
      <w:r>
        <w:rPr>
          <w:b/>
        </w:rPr>
        <w:t>Cut, T.G.</w:t>
      </w:r>
      <w:r>
        <w:t xml:space="preserve">; Baloi, A.; Herlo, A.; Luput-Andrica, I.M.; Saizu, A.E.; Uzum, A.; Mot, M.D.; Zara, F.; Sandesc, D.; Lazureanu, V.E.; Marinescu, A. Gut Microbiome Recovery in Clostridioides difficile Infection Patients Receiving Multi-Strain Probiotics During Convalescence: A Prospective Pilot Series of Longitudinal Dynamics. Diseases 2026, 14, 77. https://doi.org/10.3390/diseases14020077; ISSN: 2079-9721; </w:t>
      </w:r>
      <w:r>
        <w:rPr>
          <w:b/>
        </w:rPr>
        <w:t>FI: 3.0</w:t>
      </w:r>
      <w:r>
        <w:t>.</w:t>
      </w:r>
      <w:r>
        <w:rPr>
          <w:b/>
          <w:i/>
        </w:rPr>
        <w:t xml:space="preserve">  [autor corespondent; contribuție egală]</w:t>
      </w:r>
    </w:p>
    <w:p w14:paraId="2DB5071F" w14:textId="77777777" w:rsidR="00EE2E98" w:rsidRDefault="00000000">
      <w:pPr>
        <w:spacing w:after="120"/>
        <w:jc w:val="both"/>
      </w:pPr>
      <w:r>
        <w:rPr>
          <w:b/>
        </w:rPr>
        <w:t xml:space="preserve">8. </w:t>
      </w:r>
      <w:r>
        <w:t xml:space="preserve">Condoiu, C.; Baloi, A.; Sandesc, D.; Cumpanas, A.A.; Latcu, S.; Dema, V.; Caprariu, R.; Barb, A.C.; Ciucurita, A.; Marinescu, A.; </w:t>
      </w:r>
      <w:r>
        <w:rPr>
          <w:b/>
        </w:rPr>
        <w:t>Cut, T.G.</w:t>
      </w:r>
      <w:r>
        <w:t xml:space="preserve">; Bardan, R. Clinically Significant ISUP Upgrading in the Multiparametric MRI Era: Biopsy Tumor Burden Outperforms Complex Machine Learning Models in a Single-Center Exploratory Cohort. Cancers 2026, 18, 730. https://doi.org/10.3390/cancers18050730; ISSN: 2072-6694; </w:t>
      </w:r>
      <w:r>
        <w:rPr>
          <w:b/>
        </w:rPr>
        <w:t>FI: 4.4</w:t>
      </w:r>
      <w:r>
        <w:t>.</w:t>
      </w:r>
    </w:p>
    <w:p w14:paraId="14DF0169" w14:textId="77777777" w:rsidR="00EE2E98" w:rsidRDefault="00000000">
      <w:pPr>
        <w:spacing w:before="200" w:after="80"/>
      </w:pPr>
      <w:r>
        <w:rPr>
          <w:b/>
          <w:sz w:val="26"/>
        </w:rPr>
        <w:t>2025</w:t>
      </w:r>
    </w:p>
    <w:p w14:paraId="4A45E81E" w14:textId="77777777" w:rsidR="00EE2E98" w:rsidRDefault="00000000">
      <w:pPr>
        <w:spacing w:after="120"/>
        <w:jc w:val="both"/>
      </w:pPr>
      <w:r>
        <w:rPr>
          <w:b/>
        </w:rPr>
        <w:t xml:space="preserve">9. </w:t>
      </w:r>
      <w:r>
        <w:t xml:space="preserve">Herlo, L.F.; Cretu, O.M.; Herlo, A.; Dejeu, D.; Dobrin, A.R.; Marinescu, A.R.; </w:t>
      </w:r>
      <w:r>
        <w:rPr>
          <w:b/>
        </w:rPr>
        <w:t>Cut, T.G.</w:t>
      </w:r>
      <w:r>
        <w:t xml:space="preserve">; Balasa Virzob, C.R.; Dan, R.G.; Dumache, R. Metabolic Multimorbidity and Acute Obstructive Presentation in Colon Cancer: A 677-Patient Hospital-Based Cohort. J. Clin. Med. 2025, 15, 38. https://doi.org/10.3390/jcm15010038; ISSN: 2077-0383; </w:t>
      </w:r>
      <w:r>
        <w:rPr>
          <w:b/>
        </w:rPr>
        <w:t>FI: 3.0</w:t>
      </w:r>
      <w:r>
        <w:t>.</w:t>
      </w:r>
    </w:p>
    <w:p w14:paraId="76E6B1F8" w14:textId="77777777" w:rsidR="00EE2E98" w:rsidRDefault="00000000">
      <w:pPr>
        <w:spacing w:after="120"/>
        <w:jc w:val="both"/>
      </w:pPr>
      <w:r>
        <w:rPr>
          <w:b/>
        </w:rPr>
        <w:t xml:space="preserve">10. </w:t>
      </w:r>
      <w:r>
        <w:t xml:space="preserve">Bertici, N.S.; </w:t>
      </w:r>
      <w:r>
        <w:rPr>
          <w:b/>
        </w:rPr>
        <w:t>Cut, T.G.</w:t>
      </w:r>
      <w:r>
        <w:t xml:space="preserve">; Ridichie, A.; Manzur, A.R.; Bertici, R.A. Paradoxical Use of Benralizumab in Reactive Hypereosinophilia from Toxocariasis and Tuberculosis Co-Infection—Case Report and Literature Review. Int. J. Mol. Sci. 2025, 26, 8117. https://doi.org/10.3390/ijms26178117; ISSN: 1422-0067; </w:t>
      </w:r>
      <w:r>
        <w:rPr>
          <w:b/>
        </w:rPr>
        <w:t>FI: 4.9</w:t>
      </w:r>
      <w:r>
        <w:t>.</w:t>
      </w:r>
      <w:r>
        <w:rPr>
          <w:b/>
          <w:i/>
        </w:rPr>
        <w:t xml:space="preserve">  [autor corespondent]</w:t>
      </w:r>
    </w:p>
    <w:p w14:paraId="0B466697" w14:textId="77777777" w:rsidR="00EE2E98" w:rsidRDefault="00000000">
      <w:pPr>
        <w:spacing w:after="120"/>
        <w:jc w:val="both"/>
      </w:pPr>
      <w:r>
        <w:rPr>
          <w:b/>
        </w:rPr>
        <w:t xml:space="preserve">11. </w:t>
      </w:r>
      <w:r>
        <w:t xml:space="preserve">Pasecinic, V.; Novacescu, D.; Zara, F.; Dumitru, C.-S.; Dema, V.; Latcu, S.; Bardan, R.; Cumpanas, A.A.; Dumache, R.; </w:t>
      </w:r>
      <w:r>
        <w:rPr>
          <w:b/>
        </w:rPr>
        <w:t>Cut, T.G.</w:t>
      </w:r>
      <w:r>
        <w:t xml:space="preserve">; Ismail, H.; Stana, A.H. Predictors of ISUP Grade Group Discrepancies Between Biopsy and Radical Prostatectomy: A Single-Center Analysis of Clinical, Imaging, and Histopathological Parameters. Cancers 2025, 17, 2595. https://doi.org/10.3390/cancers17152595; ISSN: 2072-6694; </w:t>
      </w:r>
      <w:r>
        <w:rPr>
          <w:b/>
        </w:rPr>
        <w:t>FI: 4.4</w:t>
      </w:r>
      <w:r>
        <w:t>.</w:t>
      </w:r>
    </w:p>
    <w:p w14:paraId="26DA6D1F" w14:textId="77777777" w:rsidR="00EE2E98" w:rsidRDefault="00000000">
      <w:pPr>
        <w:spacing w:after="120"/>
        <w:jc w:val="both"/>
      </w:pPr>
      <w:r>
        <w:rPr>
          <w:b/>
        </w:rPr>
        <w:t xml:space="preserve">12. </w:t>
      </w:r>
      <w:r>
        <w:t xml:space="preserve">Luput-Andrica, I.M.; Marinescu, A.R.; </w:t>
      </w:r>
      <w:r>
        <w:rPr>
          <w:b/>
        </w:rPr>
        <w:t>Cut, T.G.</w:t>
      </w:r>
      <w:r>
        <w:t xml:space="preserve">; Herlo, A.; Herlo, L.F.; Saizu, A.E.; Laza, R.; Lustrea, A.; Floruncut, A.C.; Chisalita, A.; Nicolescu, N.; Oancea, C.I.; Manolescu, D.; Jumanca, R.; Rosoha, D.I.; Lazureanu, V.E. Evaluation of Bone Mineral Density and Related Factors in Romanian HIV-Positive Patients Undergoing Antiretroviral Therapy. Microorganisms 2025, 13, 1768. https://doi.org/10.3390/microorganisms13081768; ISSN: 2076-2607; </w:t>
      </w:r>
      <w:r>
        <w:rPr>
          <w:b/>
        </w:rPr>
        <w:t>FI: 4.1</w:t>
      </w:r>
      <w:r>
        <w:t>.</w:t>
      </w:r>
    </w:p>
    <w:p w14:paraId="249915EE" w14:textId="77777777" w:rsidR="00EE2E98" w:rsidRDefault="00000000">
      <w:pPr>
        <w:spacing w:after="120"/>
        <w:jc w:val="both"/>
      </w:pPr>
      <w:r>
        <w:rPr>
          <w:b/>
        </w:rPr>
        <w:lastRenderedPageBreak/>
        <w:t xml:space="preserve">13. </w:t>
      </w:r>
      <w:r>
        <w:t xml:space="preserve">Dumache, R.; Muresan, C.O.; Laitin, S.M.D.; Ivanovic, N.; Chisalita, A.; Herlo, A.; Marinescu, A.; Lazureanu, V.E.; </w:t>
      </w:r>
      <w:r>
        <w:rPr>
          <w:b/>
        </w:rPr>
        <w:t>Cut, T.G.</w:t>
      </w:r>
      <w:r>
        <w:t xml:space="preserve"> COVID-19 Organ Injury Pathology and D-Dimer Expression Patterns: A Retrospective Analysis. Diagnostics 2025, 15, 1860. https://doi.org/10.3390/diagnostics15151860; ISSN: 2075-4418; </w:t>
      </w:r>
      <w:r>
        <w:rPr>
          <w:b/>
        </w:rPr>
        <w:t>FI: 3.3</w:t>
      </w:r>
      <w:r>
        <w:t>.</w:t>
      </w:r>
      <w:r>
        <w:rPr>
          <w:b/>
          <w:i/>
        </w:rPr>
        <w:t xml:space="preserve">  [ultim autor]</w:t>
      </w:r>
    </w:p>
    <w:p w14:paraId="1FEB12DF" w14:textId="77777777" w:rsidR="00EE2E98" w:rsidRDefault="00000000">
      <w:pPr>
        <w:spacing w:after="120"/>
        <w:jc w:val="both"/>
      </w:pPr>
      <w:r>
        <w:rPr>
          <w:b/>
        </w:rPr>
        <w:t xml:space="preserve">14. </w:t>
      </w:r>
      <w:r>
        <w:t xml:space="preserve">Herlo, A.; Marinescu, A.R.; </w:t>
      </w:r>
      <w:r>
        <w:rPr>
          <w:b/>
        </w:rPr>
        <w:t>Cut, T.G.</w:t>
      </w:r>
      <w:r>
        <w:t xml:space="preserve">; Laza, R.; Marza, A.M.; Balasa Virzob, C.R.; Oancea, C.I.; Herlo, L.F.; Luput-Andrica, I.M.; Lazureanu, V.E. Pulmonary Embolism in COVID-19: Trends from a Single-Center Study Across Ten Pandemic Waves in Romania. Microorganisms 2025, 13, 1634. https://doi.org/10.3390/microorganisms13071634; ISSN: 2076-2607; </w:t>
      </w:r>
      <w:r>
        <w:rPr>
          <w:b/>
        </w:rPr>
        <w:t>FI: 4.1</w:t>
      </w:r>
      <w:r>
        <w:t>.</w:t>
      </w:r>
    </w:p>
    <w:p w14:paraId="183FAC76" w14:textId="77777777" w:rsidR="00EE2E98" w:rsidRDefault="00000000">
      <w:pPr>
        <w:spacing w:after="120"/>
        <w:jc w:val="both"/>
      </w:pPr>
      <w:r>
        <w:rPr>
          <w:b/>
        </w:rPr>
        <w:t xml:space="preserve">15. </w:t>
      </w:r>
      <w:r>
        <w:t xml:space="preserve">Nesiu, A.; Novacescu, D.; Latcu, S.; Bardan, R.; Cumpanas, A.; Zara, F.; Buciu, V.; Caprariu, R.; </w:t>
      </w:r>
      <w:r>
        <w:rPr>
          <w:b/>
        </w:rPr>
        <w:t>Cut, T.G.</w:t>
      </w:r>
      <w:r>
        <w:t xml:space="preserve">; Stana, A.H. Diagnostic Performance and Interobserver Agreement of the Vesical Imaging–Reporting and Data System (VI-RADS) in Bladder Cancer Staging: A Systematic Review. Medicina 2025, 61, 469. https://doi.org/10.3390/medicina61030469; ISSN: 1648-9144; </w:t>
      </w:r>
      <w:r>
        <w:rPr>
          <w:b/>
        </w:rPr>
        <w:t>FI: 2.4</w:t>
      </w:r>
      <w:r>
        <w:t>.</w:t>
      </w:r>
    </w:p>
    <w:p w14:paraId="5DC7EE3A" w14:textId="77777777" w:rsidR="00EE2E98" w:rsidRDefault="00000000">
      <w:pPr>
        <w:spacing w:before="200" w:after="80"/>
      </w:pPr>
      <w:r>
        <w:rPr>
          <w:b/>
          <w:sz w:val="26"/>
        </w:rPr>
        <w:t>2024</w:t>
      </w:r>
    </w:p>
    <w:p w14:paraId="5A0B0C39" w14:textId="77777777" w:rsidR="00EE2E98" w:rsidRDefault="00000000">
      <w:pPr>
        <w:spacing w:after="120"/>
        <w:jc w:val="both"/>
      </w:pPr>
      <w:r>
        <w:rPr>
          <w:b/>
        </w:rPr>
        <w:t xml:space="preserve">16. </w:t>
      </w:r>
      <w:r>
        <w:t xml:space="preserve">Vornic, I.; Buciu, V.; Furau, C.G.; Zara, F.; Novacescu, D.; Barb, A.C.; Cumpanas, A.A.; Latcu, S.C.; Sas, I.; Serban, D.; </w:t>
      </w:r>
      <w:r>
        <w:rPr>
          <w:b/>
        </w:rPr>
        <w:t>Cut, T.G.</w:t>
      </w:r>
      <w:r>
        <w:t xml:space="preserve">; Dumitru, C.-S. The Interplay of Molecular Factors and Morphology in Human Placental Development and Implantation. Biomedicines 2024, 12, 2908. https://doi.org/10.3390/biomedicines12122908; ISSN: 2227-9059; </w:t>
      </w:r>
      <w:r>
        <w:rPr>
          <w:b/>
        </w:rPr>
        <w:t>FI: 3.9</w:t>
      </w:r>
    </w:p>
    <w:p w14:paraId="74E0C8C9" w14:textId="77777777" w:rsidR="00EE2E98" w:rsidRDefault="00000000">
      <w:pPr>
        <w:spacing w:after="120"/>
        <w:jc w:val="both"/>
      </w:pPr>
      <w:r>
        <w:rPr>
          <w:b/>
        </w:rPr>
        <w:t xml:space="preserve">17. </w:t>
      </w:r>
      <w:r>
        <w:t xml:space="preserve">Feciche, B.O.; Barbos, V.; Big, A.; Porav-Hodade, D.; Cumpanas, A.A.; Latcu, S.C.; Zara, F.; Barb, A.C.; Dumitru, C.-S.; </w:t>
      </w:r>
      <w:r>
        <w:rPr>
          <w:b/>
        </w:rPr>
        <w:t>Cut, T.G.</w:t>
      </w:r>
      <w:r>
        <w:t xml:space="preserve">; Ismail, H.; Novacescu, D. Posterior Retroperitoneal Laparoscopic Adrenalectomy: An Anatomical Essay and Surgical Update. Cancers 2024, 16, 3841. https://doi.org/10.3390/cancers16223841; ISSN: 2072-6694; </w:t>
      </w:r>
      <w:r>
        <w:rPr>
          <w:b/>
        </w:rPr>
        <w:t>FI: 4.4</w:t>
      </w:r>
    </w:p>
    <w:p w14:paraId="6E83BE4E" w14:textId="77777777" w:rsidR="00EE2E98" w:rsidRDefault="00000000">
      <w:pPr>
        <w:spacing w:after="120"/>
        <w:jc w:val="both"/>
      </w:pPr>
      <w:r>
        <w:rPr>
          <w:b/>
        </w:rPr>
        <w:t xml:space="preserve">18. </w:t>
      </w:r>
      <w:r>
        <w:t xml:space="preserve">Vornic, I.; Buciu, V.; Furau, C.G.; Gaje, P.N.; Ceausu, R.A.; Dumitru, C.-S.; Barb, A.C.; Novacescu, D.; Cumpanas, A.A.; Latcu, S.C.; </w:t>
      </w:r>
      <w:r>
        <w:rPr>
          <w:b/>
        </w:rPr>
        <w:t>Cut, T.G.</w:t>
      </w:r>
      <w:r>
        <w:t xml:space="preserve">; Zara, F. Oxidative Stress and Placental Pathogenesis: A Contemporary Overview of Potential Biomarkers and Emerging Therapeutics. Int. J. Mol. Sci. 2024, 25, 12195. https://doi.org/10.3390/ijms252212195; ISSN: 1422-0067; </w:t>
      </w:r>
      <w:r>
        <w:rPr>
          <w:b/>
        </w:rPr>
        <w:t>FI: 4.9</w:t>
      </w:r>
    </w:p>
    <w:p w14:paraId="4F2896C5" w14:textId="77777777" w:rsidR="00EE2E98" w:rsidRDefault="00000000">
      <w:pPr>
        <w:spacing w:after="120"/>
        <w:jc w:val="both"/>
      </w:pPr>
      <w:r>
        <w:rPr>
          <w:b/>
        </w:rPr>
        <w:t xml:space="preserve">19. </w:t>
      </w:r>
      <w:r>
        <w:t xml:space="preserve">Novacescu, D.; Latcu, S.C.; Raica, M.; Baderca, F.; Dumitru, C.-S.; Daminescu, L.; Bardan, R.; Dema, V.; Croitor, A.; </w:t>
      </w:r>
      <w:r>
        <w:rPr>
          <w:b/>
        </w:rPr>
        <w:t>Cut, T.G.</w:t>
      </w:r>
      <w:r>
        <w:t xml:space="preserve">; Cumpanas, A.A. Surgical Strategies for Renal Transplantation: A Pictorial Essay. J. Clin. Med. 2024, 13, 4188. https://doi.org/10.3390/jcm13144188; ISSN: 2077-0383; </w:t>
      </w:r>
      <w:r>
        <w:rPr>
          <w:b/>
        </w:rPr>
        <w:t>FI: 2.9</w:t>
      </w:r>
    </w:p>
    <w:p w14:paraId="632CD4B6" w14:textId="77777777" w:rsidR="00EE2E98" w:rsidRDefault="00000000">
      <w:pPr>
        <w:spacing w:after="120"/>
        <w:jc w:val="both"/>
      </w:pPr>
      <w:r>
        <w:rPr>
          <w:b/>
        </w:rPr>
        <w:t xml:space="preserve">20. </w:t>
      </w:r>
      <w:r>
        <w:t xml:space="preserve">Latcu, S.C.; Cumpanas, A.A.; Barbos, V.; Buciu, V.-B.; Raica, M.; Baderca, F.; Gaje, P.N.; Ceausu, R.A.; Dumitru, C.-S.; Novacescu, D.; </w:t>
      </w:r>
      <w:r>
        <w:rPr>
          <w:b/>
        </w:rPr>
        <w:t>Cut, T.G.</w:t>
      </w:r>
      <w:r>
        <w:t xml:space="preserve">; Petrica, L. Clinical Tools for Optimizing Therapeutic Decision-Making in Prostate Cancer: A Five-Year </w:t>
      </w:r>
      <w:r>
        <w:lastRenderedPageBreak/>
        <w:t xml:space="preserve">Retrospective Analysis. Life 2024, 14, 838. https://doi.org/10.3390/life14070838; ISSN: 2075-1729; </w:t>
      </w:r>
      <w:r>
        <w:rPr>
          <w:b/>
        </w:rPr>
        <w:t>FI: 3.4</w:t>
      </w:r>
    </w:p>
    <w:p w14:paraId="49E93F74" w14:textId="77777777" w:rsidR="00EE2E98" w:rsidRDefault="00000000">
      <w:pPr>
        <w:spacing w:after="120"/>
        <w:jc w:val="both"/>
      </w:pPr>
      <w:r>
        <w:rPr>
          <w:b/>
        </w:rPr>
        <w:t xml:space="preserve">21. </w:t>
      </w:r>
      <w:r>
        <w:t xml:space="preserve">Latcu, S.C.; Bardan, R.; Cumpanas, A.A.; Barbos, V.; Baderca, F.; Gaje, P.N.; Ceausu, R.A.; Comsa, S.; </w:t>
      </w:r>
      <w:r>
        <w:rPr>
          <w:b/>
        </w:rPr>
        <w:t>Cut, T.G.</w:t>
      </w:r>
      <w:r>
        <w:t xml:space="preserve">; Dumitru, C.-S.; Dumache, R.; et al. Immunotherapy Applications for Thymine Dimers and WT1 Antigen in Renal Cancers: A Comparative Statistical Analysis. J. Pers. Med. 2024, 14, 557. https://doi.org/10.3390/jpm14060557; ISSN: 2075-4426; </w:t>
      </w:r>
      <w:r>
        <w:rPr>
          <w:b/>
        </w:rPr>
        <w:t>FI: N/A</w:t>
      </w:r>
      <w:r>
        <w:t xml:space="preserve"> (jurnal radiat din WoS)</w:t>
      </w:r>
    </w:p>
    <w:p w14:paraId="14343037" w14:textId="77777777" w:rsidR="00EE2E98" w:rsidRDefault="00000000">
      <w:pPr>
        <w:spacing w:after="120"/>
        <w:jc w:val="both"/>
      </w:pPr>
      <w:r>
        <w:rPr>
          <w:b/>
        </w:rPr>
        <w:t xml:space="preserve">22. </w:t>
      </w:r>
      <w:r>
        <w:t xml:space="preserve">Herlo, A.; Marinescu, A.R.; </w:t>
      </w:r>
      <w:r>
        <w:rPr>
          <w:b/>
        </w:rPr>
        <w:t>Cut, T.G.</w:t>
      </w:r>
      <w:r>
        <w:t xml:space="preserve">; Laza, R.; Oancea, C.I.; Manolescu, D.; Hogea, E.; Porosnicu, T.M.; Sincaru, S.V.; Dumache, R.; et al. Risk Factors for Pulmonary Embolism in Individuals Infected with SARS-CoV2—A Single-Centre Retrospective Study. Biomedicines 2024, 12, 774. https://doi.org/10.3390/biomedicines12040774; ISSN: 2227-9059; </w:t>
      </w:r>
      <w:r>
        <w:rPr>
          <w:b/>
        </w:rPr>
        <w:t>FI: 3.9</w:t>
      </w:r>
    </w:p>
    <w:p w14:paraId="312A771D" w14:textId="77777777" w:rsidR="00EE2E98" w:rsidRDefault="00000000">
      <w:pPr>
        <w:spacing w:before="200" w:after="80"/>
      </w:pPr>
      <w:r>
        <w:rPr>
          <w:b/>
          <w:sz w:val="26"/>
        </w:rPr>
        <w:t>2023</w:t>
      </w:r>
    </w:p>
    <w:p w14:paraId="452851CD" w14:textId="77777777" w:rsidR="00EE2E98" w:rsidRDefault="00000000">
      <w:pPr>
        <w:spacing w:after="120"/>
        <w:jc w:val="both"/>
      </w:pPr>
      <w:r>
        <w:rPr>
          <w:b/>
        </w:rPr>
        <w:t xml:space="preserve">23. </w:t>
      </w:r>
      <w:r>
        <w:t xml:space="preserve">Latcu, S.; Novacescu, D.; Buciu, V.-B.; Dumitru, C.-S.; Ceauşu, R.; Raica, M.; </w:t>
      </w:r>
      <w:r>
        <w:rPr>
          <w:b/>
        </w:rPr>
        <w:t>Cut, T. G.</w:t>
      </w:r>
      <w:r>
        <w:t xml:space="preserve">; Ilina, R.; Malita, D.; Tarta, C.; Cumpanas, A. The Cavernous Nerve Injury Rat Model: A Pictorial Essay on Post-Radical Prostatectomy Erectile Dysfunction Research. Life 2023, 13, 2337. https://doi.org/10.3390/life13122337; ISSN: 2075-1729; </w:t>
      </w:r>
      <w:r>
        <w:rPr>
          <w:b/>
        </w:rPr>
        <w:t>FI: 3.4</w:t>
      </w:r>
    </w:p>
    <w:p w14:paraId="36D6FD24" w14:textId="77777777" w:rsidR="00EE2E98" w:rsidRDefault="00000000">
      <w:pPr>
        <w:spacing w:after="120"/>
        <w:jc w:val="both"/>
      </w:pPr>
      <w:r>
        <w:rPr>
          <w:b/>
        </w:rPr>
        <w:t xml:space="preserve">24. </w:t>
      </w:r>
      <w:r>
        <w:t xml:space="preserve">Laza, R.; Lustrea, A.; Lazureanu, V.E.; Marinescu, A.R.; Nicolescu, N.; Herlo, A.; </w:t>
      </w:r>
      <w:r>
        <w:rPr>
          <w:b/>
        </w:rPr>
        <w:t>Cut, T.G.</w:t>
      </w:r>
      <w:r>
        <w:t xml:space="preserve">; Porosnicu, T.M.; Papava, I.; Romosan, R.S.; Romosan, A.M.; Bondrescu, M.; Dimeny, C.Z.; Nica-Bacaiteanu, C.B.; Andor, M.; Dehelean, L. Untangling the Professional Web: Understanding the Impact of Work-Related Factors on the Mental Health of Healthcare Professionals During the Late Stages of Covid-19 Pandemic. J. Multidiscip. Healthc. 2023, 16, 2391–2404. https://doi.org/10.2147/JMDH.S424563; </w:t>
      </w:r>
      <w:r>
        <w:rPr>
          <w:b/>
        </w:rPr>
        <w:t>FI: 3.3</w:t>
      </w:r>
      <w:r>
        <w:t>.</w:t>
      </w:r>
    </w:p>
    <w:p w14:paraId="70BA157B" w14:textId="77777777" w:rsidR="00EE2E98" w:rsidRDefault="00000000">
      <w:pPr>
        <w:spacing w:after="120"/>
        <w:jc w:val="both"/>
      </w:pPr>
      <w:r>
        <w:rPr>
          <w:b/>
        </w:rPr>
        <w:t>25. Cut, T. G.</w:t>
      </w:r>
      <w:r>
        <w:t xml:space="preserve">; Mavrea, A.; Cumpanas, A.; Novacescu, D.; Oancea, C.; Bratosin, F.; Marinescu, A.; Laza, R.; Mocanu, A.; Pescariu, S.; Manolescu, D.; Dumache, R.; Enache, A.; Hogea, E.; Lazureanu, V. A Retrospective Assessment of Sputum Samples and Antimicrobial Resistance in COVID-19 Patients. Pathogens 2023, 12, 620. https://doi.org/10.3390/pathogens12040620; ISSN: 2076-0817; </w:t>
      </w:r>
      <w:r>
        <w:rPr>
          <w:b/>
        </w:rPr>
        <w:t>FI: 3.3</w:t>
      </w:r>
      <w:r>
        <w:rPr>
          <w:b/>
          <w:i/>
        </w:rPr>
        <w:t xml:space="preserve">  [prim autor]</w:t>
      </w:r>
    </w:p>
    <w:p w14:paraId="2DD713DC" w14:textId="77777777" w:rsidR="00EE2E98" w:rsidRDefault="00000000">
      <w:pPr>
        <w:spacing w:after="120"/>
        <w:jc w:val="both"/>
      </w:pPr>
      <w:r>
        <w:rPr>
          <w:b/>
        </w:rPr>
        <w:t xml:space="preserve">26. </w:t>
      </w:r>
      <w:r>
        <w:t xml:space="preserve">Novacescu, D.; Nesiu, A.; Bardan, R.; Latcu, S.; Dema, V.; Croitor, A.; Raica, M.; </w:t>
      </w:r>
      <w:r>
        <w:rPr>
          <w:b/>
        </w:rPr>
        <w:t>Cut, T. G.</w:t>
      </w:r>
      <w:r>
        <w:t xml:space="preserve">; Walter, J.; Cumpanas, A. Rats, Neuregulins and Radical Prostatectomy: A Conceptual Overview. J. Clin. Med. 2023, 12, 2208. https://doi.org/10.3390/jcm12062208; ISSN: 2077-0383; </w:t>
      </w:r>
      <w:r>
        <w:rPr>
          <w:b/>
        </w:rPr>
        <w:t>FI: 3.0</w:t>
      </w:r>
    </w:p>
    <w:p w14:paraId="2F21A249" w14:textId="77777777" w:rsidR="00EE2E98" w:rsidRDefault="00000000">
      <w:pPr>
        <w:spacing w:after="120"/>
        <w:jc w:val="both"/>
      </w:pPr>
      <w:r>
        <w:rPr>
          <w:b/>
        </w:rPr>
        <w:t xml:space="preserve">27. </w:t>
      </w:r>
      <w:r>
        <w:t xml:space="preserve">Mocanu, A.; Lazureanu, V.E.; Laza, R.; Marinescu, A.R.; </w:t>
      </w:r>
      <w:r>
        <w:rPr>
          <w:b/>
        </w:rPr>
        <w:t>Cut, T.G.</w:t>
      </w:r>
      <w:r>
        <w:t xml:space="preserve">; Sincaru, S.-V.; Marza, A.M.; Popescu, I.-M.; Herlo, L.-F.; Nelson-Twakor, A.; et al. Laboratory Findings and Clinical Outcomes of ICU-admitted COVID-19 Patients: A Retrospective </w:t>
      </w:r>
      <w:r>
        <w:lastRenderedPageBreak/>
        <w:t xml:space="preserve">Assessment of Particularities Identified among Romanian Minorities. J. Pers. Med. 2023, 13, 195. https://doi.org/10.3390/jpm13020195; ISSN: 2075-4426; </w:t>
      </w:r>
      <w:r>
        <w:rPr>
          <w:b/>
        </w:rPr>
        <w:t>FI: 3.0</w:t>
      </w:r>
    </w:p>
    <w:p w14:paraId="385B894F" w14:textId="77777777" w:rsidR="00EE2E98" w:rsidRDefault="00000000">
      <w:pPr>
        <w:spacing w:before="200" w:after="80"/>
      </w:pPr>
      <w:r>
        <w:rPr>
          <w:b/>
          <w:sz w:val="26"/>
        </w:rPr>
        <w:t>2022</w:t>
      </w:r>
    </w:p>
    <w:p w14:paraId="2AAF7DC8" w14:textId="77777777" w:rsidR="00EE2E98" w:rsidRDefault="00000000">
      <w:pPr>
        <w:spacing w:after="120"/>
        <w:jc w:val="both"/>
      </w:pPr>
      <w:r>
        <w:rPr>
          <w:b/>
        </w:rPr>
        <w:t>28. Cut, T. G.</w:t>
      </w:r>
      <w:r>
        <w:t xml:space="preserve">; Ciocan, V.; Novacescu, D.; Voicu, A.; Marinescu, A.; Lazureanu, V.; Muresan, C.-O.; Enache, A.; Dumache, R. Autopsy Findings and Inflammatory Markers in SARS-CoV-2: A Single-Center Experience. Int. J. Gen. Med. 2022, 15, 8743–8753. https://doi.org/10.2147/IJGM.S389300; ISSN: 1178-7074; </w:t>
      </w:r>
      <w:r>
        <w:rPr>
          <w:b/>
        </w:rPr>
        <w:t>FI: 2.3</w:t>
      </w:r>
      <w:r>
        <w:rPr>
          <w:b/>
          <w:i/>
        </w:rPr>
        <w:t xml:space="preserve">  [prim autor]</w:t>
      </w:r>
    </w:p>
    <w:p w14:paraId="29793295" w14:textId="77777777" w:rsidR="00EE2E98" w:rsidRDefault="00000000">
      <w:pPr>
        <w:spacing w:after="120"/>
        <w:jc w:val="both"/>
      </w:pPr>
      <w:r>
        <w:rPr>
          <w:b/>
        </w:rPr>
        <w:t xml:space="preserve">29. </w:t>
      </w:r>
      <w:r>
        <w:t xml:space="preserve">Mocanu, A.; Lazureanu, V.E.; Marinescu, A.R.; </w:t>
      </w:r>
      <w:r>
        <w:rPr>
          <w:b/>
        </w:rPr>
        <w:t>Cut, T.G.</w:t>
      </w:r>
      <w:r>
        <w:t xml:space="preserve">; Laza, R.; Rusu, L.-C.; Marza, A.M.; Nelson-Twakor, A.; Negrean, R.A.; Popescu, I.-M.; et al. A Retrospective Assessment of Laboratory Findings and Cytokine Markers in Severe SARS-CoV-2 Infection among Patients of Roma Population. J. Clin. Med. 2022, 11, 6777. https://doi.org/10.3390/jcm11226777; ISSN: 2077-0383; </w:t>
      </w:r>
      <w:r>
        <w:rPr>
          <w:b/>
        </w:rPr>
        <w:t>FI: 3.9</w:t>
      </w:r>
    </w:p>
    <w:p w14:paraId="29963833" w14:textId="77777777" w:rsidR="00EE2E98" w:rsidRDefault="00000000">
      <w:pPr>
        <w:spacing w:after="120"/>
        <w:jc w:val="both"/>
      </w:pPr>
      <w:r>
        <w:rPr>
          <w:b/>
        </w:rPr>
        <w:t xml:space="preserve">30. </w:t>
      </w:r>
      <w:r>
        <w:t xml:space="preserve">Novacescu, D.; Feciche, B.; Cumpanas, A.; Bardan, R.; Rusmir, A.; Bitar, Y.; Barbos, V.; </w:t>
      </w:r>
      <w:r>
        <w:rPr>
          <w:b/>
        </w:rPr>
        <w:t>Cut, T. G.</w:t>
      </w:r>
      <w:r>
        <w:t xml:space="preserve">; Raica, M.; Latcu, S. Contemporary Clinical Definitions, Differential Diagnosis, and Novel Predictive Tools for Renal Cell Carcinoma. Biomedicines 2022, 10, 2926. https://doi.org/10.3390/biomedicines10112926; ISSN: 2227-9059; </w:t>
      </w:r>
      <w:r>
        <w:rPr>
          <w:b/>
        </w:rPr>
        <w:t>FI: 4.7</w:t>
      </w:r>
    </w:p>
    <w:p w14:paraId="02F6CD9B" w14:textId="77777777" w:rsidR="00EE2E98" w:rsidRDefault="00000000">
      <w:pPr>
        <w:spacing w:after="120"/>
        <w:jc w:val="both"/>
      </w:pPr>
      <w:r>
        <w:rPr>
          <w:b/>
        </w:rPr>
        <w:t xml:space="preserve">31. </w:t>
      </w:r>
      <w:r>
        <w:t xml:space="preserve">Novacescu, D.; </w:t>
      </w:r>
      <w:r>
        <w:rPr>
          <w:b/>
        </w:rPr>
        <w:t>Cut, T. G.</w:t>
      </w:r>
      <w:r>
        <w:t xml:space="preserve">; Cumpanas, A.; Bratosin, F.; Ceauşu, R.; Raica, M. Novel Expression of Thymine Dimers in Renal Cell Carcinoma, Demonstrated through Immunohistochemistry. Biomedicines 2022, 10, 2673. https://doi.org/10.3390/biomedicines10112673; ISSN: 2227-9059; </w:t>
      </w:r>
      <w:r>
        <w:rPr>
          <w:b/>
        </w:rPr>
        <w:t>FI: 4.7</w:t>
      </w:r>
      <w:r>
        <w:rPr>
          <w:b/>
          <w:i/>
        </w:rPr>
        <w:t xml:space="preserve">  [autor corespondent]</w:t>
      </w:r>
    </w:p>
    <w:p w14:paraId="513A54F3" w14:textId="77777777" w:rsidR="00EE2E98" w:rsidRDefault="00000000">
      <w:pPr>
        <w:spacing w:after="120"/>
        <w:jc w:val="both"/>
      </w:pPr>
      <w:r>
        <w:rPr>
          <w:b/>
        </w:rPr>
        <w:t xml:space="preserve">32. </w:t>
      </w:r>
      <w:r>
        <w:t xml:space="preserve">Tudoran, C.; Tudoran, M.; </w:t>
      </w:r>
      <w:r>
        <w:rPr>
          <w:b/>
        </w:rPr>
        <w:t>Cut, T. G.</w:t>
      </w:r>
      <w:r>
        <w:t xml:space="preserve">; Lazureanu, V.; Bende, F.; Bende, R.; Enache, A.; Pescariu, S.; Novacescu, D. The Impact of Metabolic Syndrome and Obesity on the Evolution of Diastolic Dysfunction in Apparently Healthy Patients Suffering from Post-COVID-19 Syndrome. Biomedicines 2022, 10, 1519. https://doi.org/10.3390/biomedicines10071519; ISSN: 2227-9059; </w:t>
      </w:r>
      <w:r>
        <w:rPr>
          <w:b/>
        </w:rPr>
        <w:t>FI: 4.7</w:t>
      </w:r>
    </w:p>
    <w:p w14:paraId="45D9DD79" w14:textId="77777777" w:rsidR="00EE2E98" w:rsidRDefault="00000000">
      <w:pPr>
        <w:spacing w:after="120"/>
        <w:jc w:val="both"/>
      </w:pPr>
      <w:r>
        <w:rPr>
          <w:b/>
        </w:rPr>
        <w:t xml:space="preserve">33. </w:t>
      </w:r>
      <w:r>
        <w:t xml:space="preserve">Marinescu, A.R.; Lazureanu, V.E.; Musta, V.F.; Nicolescu, N.D.; Mocanu, A.; </w:t>
      </w:r>
      <w:r>
        <w:rPr>
          <w:b/>
        </w:rPr>
        <w:t>Cut, T.G.</w:t>
      </w:r>
      <w:r>
        <w:t xml:space="preserve">; Muresan, C.O.; Tudoran, C.; Licker, M.; Laza, R. Severe Thrombocytopenic Purpura Associated with COVID-19 in a Pediatric Patient. Infect. Drug Resist. 2022, 15, 3405–3415. https://doi.org/10.2147/IDR.S363716; ISSN: 1178-6973; </w:t>
      </w:r>
      <w:r>
        <w:rPr>
          <w:b/>
        </w:rPr>
        <w:t>FI: 3.9</w:t>
      </w:r>
      <w:r>
        <w:rPr>
          <w:b/>
          <w:i/>
        </w:rPr>
        <w:t xml:space="preserve">  [autor corespondent]</w:t>
      </w:r>
    </w:p>
    <w:p w14:paraId="52124AB7" w14:textId="77777777" w:rsidR="00EE2E98" w:rsidRDefault="00000000">
      <w:pPr>
        <w:spacing w:after="120"/>
        <w:jc w:val="both"/>
      </w:pPr>
      <w:r>
        <w:rPr>
          <w:b/>
        </w:rPr>
        <w:t xml:space="preserve">34. </w:t>
      </w:r>
      <w:r>
        <w:t xml:space="preserve">Tudoran, C.; Tudoran, M.; Lazureanu, E.; Marinescu, A.; Novacescu, D.; </w:t>
      </w:r>
      <w:r>
        <w:rPr>
          <w:b/>
        </w:rPr>
        <w:t>Cut, T. G.</w:t>
      </w:r>
      <w:r>
        <w:t xml:space="preserve"> Impairment of the Cardiovascular System during SARS-CoV-2 Infection. In RNA Viruses Infection; Shah, Y., Ed.; IntechOpen: London, UK, 2022; ISBN: 978-1-80355-667-3. https://doi.org/10.5772/intechopen.98167. (capitol în volum colectiv internațional)</w:t>
      </w:r>
    </w:p>
    <w:p w14:paraId="22C92D91" w14:textId="77777777" w:rsidR="00EE2E98" w:rsidRDefault="00000000">
      <w:pPr>
        <w:spacing w:after="120"/>
        <w:jc w:val="both"/>
      </w:pPr>
      <w:r>
        <w:rPr>
          <w:b/>
        </w:rPr>
        <w:lastRenderedPageBreak/>
        <w:t xml:space="preserve">35. </w:t>
      </w:r>
      <w:r>
        <w:t xml:space="preserve">Novacescu, D.; </w:t>
      </w:r>
      <w:r>
        <w:rPr>
          <w:b/>
        </w:rPr>
        <w:t>Cut, T. G.</w:t>
      </w:r>
      <w:r>
        <w:t xml:space="preserve">; Cumpanas, A. A.; Latcu, S. C.; Bardan, R.; Ferician, O.; Secasan, C.-C.; Rusmir, A.; Raica, M. Evaluating Established Roles, Future Perspectives and Methodological Heterogeneity for Wilms' Tumor 1 (WT1) Antigen Detection in Adult Renal Cell Carcinoma, Using a Novel N-Terminus Targeted Antibody (Clone WT49). Biomedicines 2022, 10, 912. https://doi.org/10.3390/biomedicines10040912; ISSN: 2227-9059; </w:t>
      </w:r>
      <w:r>
        <w:rPr>
          <w:b/>
        </w:rPr>
        <w:t>FI: 4.7</w:t>
      </w:r>
      <w:r>
        <w:rPr>
          <w:b/>
          <w:i/>
        </w:rPr>
        <w:t xml:space="preserve">  [autor corespondent; contribuție egală]</w:t>
      </w:r>
    </w:p>
    <w:p w14:paraId="1AE5DA69" w14:textId="77777777" w:rsidR="00EE2E98" w:rsidRDefault="00000000">
      <w:pPr>
        <w:spacing w:after="120"/>
        <w:jc w:val="both"/>
      </w:pPr>
      <w:r>
        <w:rPr>
          <w:b/>
        </w:rPr>
        <w:t xml:space="preserve">36. </w:t>
      </w:r>
      <w:r>
        <w:t xml:space="preserve">Dumache, R.; Enache, A.; </w:t>
      </w:r>
      <w:r>
        <w:rPr>
          <w:b/>
        </w:rPr>
        <w:t>Cut, T. G.</w:t>
      </w:r>
      <w:r>
        <w:t xml:space="preserve">; Paul, C.; Mihailescu, A.; Ionescu, A.; Novacescu, D.; Marinescu, A.; Ciocan, V.; Muresan, C.-O.; Voicu, A. Deficiency of Vitamin D, a Major Risk Factor for SARS-CoV-2 Severity. Clin. Lab. 2022, 68. https://doi.org/10.7754/Clin.Lab.2021.210327; ISSN: 1433-6510; </w:t>
      </w:r>
      <w:r>
        <w:rPr>
          <w:b/>
        </w:rPr>
        <w:t>FI: 1.14</w:t>
      </w:r>
    </w:p>
    <w:p w14:paraId="7EF8B399" w14:textId="77777777" w:rsidR="00EE2E98" w:rsidRDefault="00000000">
      <w:pPr>
        <w:spacing w:after="120"/>
        <w:jc w:val="both"/>
      </w:pPr>
      <w:r>
        <w:rPr>
          <w:b/>
        </w:rPr>
        <w:t xml:space="preserve">37. </w:t>
      </w:r>
      <w:r>
        <w:t xml:space="preserve">Mocanu, A.; Lazureanu, V.; </w:t>
      </w:r>
      <w:r>
        <w:rPr>
          <w:b/>
        </w:rPr>
        <w:t>Cut, T.</w:t>
      </w:r>
      <w:r>
        <w:t xml:space="preserve">; Laza, R.; Musta, V.; Nicolescu, N.; Marinescu, A.; Nelson-Twakor, A.; Dumache, R.; Mederle, O. Angiocatheter Decompression on a COVID-19 Patient with Severe Pneumonia, Pneumothorax, and Subcutaneous Emphysema. Clin. Lab. 2022, 68 (11). https://doi.org/10.7754/Clin.Lab.2022.220147; ISSN: 1433-6510; </w:t>
      </w:r>
      <w:r>
        <w:rPr>
          <w:b/>
        </w:rPr>
        <w:t>FI: 1.14</w:t>
      </w:r>
    </w:p>
    <w:p w14:paraId="260F0366" w14:textId="77777777" w:rsidR="00EE2E98" w:rsidRDefault="00000000">
      <w:pPr>
        <w:spacing w:after="120"/>
        <w:jc w:val="both"/>
      </w:pPr>
      <w:r>
        <w:rPr>
          <w:b/>
        </w:rPr>
        <w:t xml:space="preserve">38. </w:t>
      </w:r>
      <w:r>
        <w:t xml:space="preserve">Marinescu, A.R.; Lazureanu, V.; Laza, R.; Musta, V.; Nicolescu, N.; </w:t>
      </w:r>
      <w:r>
        <w:rPr>
          <w:b/>
        </w:rPr>
        <w:t>Cuț, T.G.</w:t>
      </w:r>
      <w:r>
        <w:t xml:space="preserve">; Dehelean, C.; Oancea, C.; Licker, M. Association between Ribotype and Clinical Form of Enterocolitis with C. difficile in Western Romania: A 2-Year Study. Exp. Ther. Med. 2022, 23, 22. https://doi.org/10.3892/etm.2021.10944; ISSN: 1792-0981; </w:t>
      </w:r>
      <w:r>
        <w:rPr>
          <w:b/>
        </w:rPr>
        <w:t>FI: 2.7</w:t>
      </w:r>
    </w:p>
    <w:p w14:paraId="29021BA0" w14:textId="77777777" w:rsidR="00EE2E98" w:rsidRDefault="00000000">
      <w:pPr>
        <w:spacing w:after="120"/>
        <w:jc w:val="both"/>
      </w:pPr>
      <w:r>
        <w:rPr>
          <w:b/>
        </w:rPr>
        <w:t xml:space="preserve">39. </w:t>
      </w:r>
      <w:r>
        <w:t xml:space="preserve">Laza, R.; Lazureanu, V.E.; Musta, V.F.; Nicolescu, N.D.; Vernic, C.; Tudor, A.; Critu, R.; Vilceanu, L.; Paczeyka, R.; Bica Profir, V.; Marinescu, A.R.; Mocanu, A.; </w:t>
      </w:r>
      <w:r>
        <w:rPr>
          <w:b/>
        </w:rPr>
        <w:t>Cut, T.G.</w:t>
      </w:r>
      <w:r>
        <w:t xml:space="preserve">; Lighezan, D.F.; Baditoiu, L.M. COVID-19 Independent Risk Factors for Unfavorable Disease Progression: A Cross-Sectional Study from Romania. Int. J. Gen. Med. 2022, 15, 2025–2036. https://doi.org/10.2147/IJGM.S350920; ISSN: 1178-7074; </w:t>
      </w:r>
      <w:r>
        <w:rPr>
          <w:b/>
        </w:rPr>
        <w:t>FI: 2.3</w:t>
      </w:r>
      <w:r>
        <w:rPr>
          <w:b/>
          <w:i/>
        </w:rPr>
        <w:t xml:space="preserve">  [autor corespondent]</w:t>
      </w:r>
    </w:p>
    <w:p w14:paraId="50EA8C1C" w14:textId="77777777" w:rsidR="00EE2E98" w:rsidRDefault="00000000">
      <w:pPr>
        <w:spacing w:after="120"/>
        <w:jc w:val="both"/>
      </w:pPr>
      <w:r>
        <w:rPr>
          <w:b/>
        </w:rPr>
        <w:t xml:space="preserve">40. </w:t>
      </w:r>
      <w:r>
        <w:t xml:space="preserve">Tudoran, C.; Tudoran, M.; </w:t>
      </w:r>
      <w:r>
        <w:rPr>
          <w:b/>
        </w:rPr>
        <w:t>Cut, T.G.</w:t>
      </w:r>
      <w:r>
        <w:t xml:space="preserve">; Lazureanu, V.E.; Oancea, C.; Marinescu, A.R.; Pescariu, S.A.; Pop, G.N.; Bende, F. Evolution of Echocardiographic Abnormalities Identified in Previously Healthy Individuals Recovering from COVID-19. J. Pers. Med. 2022, 12, 46. https://doi.org/10.3390/jpm12010046; ISSN: 2075-4426; </w:t>
      </w:r>
      <w:r>
        <w:rPr>
          <w:b/>
        </w:rPr>
        <w:t>FI: 3.4</w:t>
      </w:r>
    </w:p>
    <w:p w14:paraId="510DF6D9" w14:textId="77777777" w:rsidR="00EE2E98" w:rsidRDefault="00000000">
      <w:pPr>
        <w:spacing w:after="120"/>
        <w:jc w:val="both"/>
      </w:pPr>
      <w:r>
        <w:rPr>
          <w:b/>
        </w:rPr>
        <w:t xml:space="preserve">41. </w:t>
      </w:r>
      <w:r>
        <w:t xml:space="preserve">Tudoran, C.; Tudoran, M.; Abu-Awwad, A.; </w:t>
      </w:r>
      <w:r>
        <w:rPr>
          <w:b/>
        </w:rPr>
        <w:t>Cut, T.G.</w:t>
      </w:r>
      <w:r>
        <w:t xml:space="preserve">; Voiță-Mekereș, F. Spontaneous Hematomas and Deep Vein Thrombosis during the Recovery from a SARS-CoV-2 Infection: Case Report and Literature Review. Medicina 2022, 58, 230. https://doi.org/10.3390/medicina58020230; ISSN: 1648-9144; </w:t>
      </w:r>
      <w:r>
        <w:rPr>
          <w:b/>
        </w:rPr>
        <w:t>FI: 2.6</w:t>
      </w:r>
    </w:p>
    <w:p w14:paraId="1FC3B328" w14:textId="77777777" w:rsidR="00EE2E98" w:rsidRDefault="00000000">
      <w:pPr>
        <w:spacing w:after="120"/>
        <w:jc w:val="both"/>
      </w:pPr>
      <w:r>
        <w:rPr>
          <w:b/>
        </w:rPr>
        <w:t>42. Cut, T. G.</w:t>
      </w:r>
      <w:r>
        <w:t xml:space="preserve">; Enache, A.; Novacescu, D.; Marinescu, A.; Lăzureanu, V.; Paul, C.; Voicu, M.; Stelea, L.; Dumache, R. Postmortem MicroRNA Signatures as Predictive Markers in SARS-CoV-2 Infection. Clin. Lab. 2022, 68. https://doi.org/10.7754/Clin.Lab.2021.210626; ISSN: 1433-6510; </w:t>
      </w:r>
      <w:r>
        <w:rPr>
          <w:b/>
        </w:rPr>
        <w:t>FI: 1.14</w:t>
      </w:r>
      <w:r>
        <w:rPr>
          <w:b/>
          <w:i/>
        </w:rPr>
        <w:t xml:space="preserve">  [prim autor]</w:t>
      </w:r>
    </w:p>
    <w:p w14:paraId="31BCD495" w14:textId="77777777" w:rsidR="00EE2E98" w:rsidRDefault="00000000">
      <w:pPr>
        <w:spacing w:before="200" w:after="80"/>
      </w:pPr>
      <w:r>
        <w:rPr>
          <w:b/>
          <w:sz w:val="26"/>
        </w:rPr>
        <w:lastRenderedPageBreak/>
        <w:t>2021</w:t>
      </w:r>
    </w:p>
    <w:p w14:paraId="343423CF" w14:textId="77777777" w:rsidR="00EE2E98" w:rsidRDefault="00000000">
      <w:pPr>
        <w:spacing w:after="120"/>
        <w:jc w:val="both"/>
      </w:pPr>
      <w:r>
        <w:rPr>
          <w:b/>
        </w:rPr>
        <w:t xml:space="preserve">43. </w:t>
      </w:r>
      <w:r>
        <w:t xml:space="preserve">Tudoran, C.; Tudoran, M.; Lazureanu, V.E.; Marinescu, A.R.; </w:t>
      </w:r>
      <w:r>
        <w:rPr>
          <w:b/>
        </w:rPr>
        <w:t>Cut, T.G.</w:t>
      </w:r>
      <w:r>
        <w:t xml:space="preserve">; Oancea, C.; Pescariu, S.A.; Pop, G.N. Factors Influencing the Evolution of Pulmonary Hypertension in Previously Healthy Subjects Recovering from a SARS-CoV-2 Infection. J. Clin. Med. 2021, 10, 5272. https://doi.org/10.3390/jcm10225272; ISSN: 2077-0383; </w:t>
      </w:r>
      <w:r>
        <w:rPr>
          <w:b/>
        </w:rPr>
        <w:t>FI: 4.964</w:t>
      </w:r>
    </w:p>
    <w:p w14:paraId="4F4E8135" w14:textId="77777777" w:rsidR="00EE2E98" w:rsidRDefault="00000000">
      <w:pPr>
        <w:spacing w:after="120"/>
        <w:jc w:val="both"/>
      </w:pPr>
      <w:r>
        <w:rPr>
          <w:b/>
        </w:rPr>
        <w:t xml:space="preserve">44. </w:t>
      </w:r>
      <w:r>
        <w:t xml:space="preserve">Marinescu, A.R.; Laza, R.; Musta, V.F.; </w:t>
      </w:r>
      <w:r>
        <w:rPr>
          <w:b/>
        </w:rPr>
        <w:t>Cut, T.G.</w:t>
      </w:r>
      <w:r>
        <w:t xml:space="preserve">; Dumache, R.; Tudor, A.; Porosnicu, M.; Lazureanu, V.E.; Licker, M. Clostridium Difficile and COVID-19: General Data, Ribotype, Clinical Form, Treatment—Our Experience from the Largest Infectious Diseases Hospital in Western Romania. Medicina 2021, 57, 1099. https://doi.org/10.3390/medicina57101099; ISSN: 1648-9144; </w:t>
      </w:r>
      <w:r>
        <w:rPr>
          <w:b/>
        </w:rPr>
        <w:t>FI: 2.947</w:t>
      </w:r>
      <w:r>
        <w:rPr>
          <w:b/>
          <w:i/>
        </w:rPr>
        <w:t xml:space="preserve">  [autor corespondent]</w:t>
      </w:r>
    </w:p>
    <w:p w14:paraId="11BFB343" w14:textId="77777777" w:rsidR="00EE2E98" w:rsidRDefault="00000000">
      <w:pPr>
        <w:spacing w:after="120"/>
        <w:jc w:val="both"/>
      </w:pPr>
      <w:r>
        <w:rPr>
          <w:b/>
        </w:rPr>
        <w:t xml:space="preserve">45. </w:t>
      </w:r>
      <w:r>
        <w:t xml:space="preserve">Enache, A.; Ciocan, V.; Muresan, C. O.; </w:t>
      </w:r>
      <w:r>
        <w:rPr>
          <w:b/>
        </w:rPr>
        <w:t>Cut, T. G.</w:t>
      </w:r>
      <w:r>
        <w:t xml:space="preserve">; Novacescu, D.; Paul, C.; Andreescu, N.; Mihailescu, A.; Raica, M.; Dumache, R. Postmortem Documentation of SARS-CoV-2 in Utero and Postpartum Transmission, through Amniotic Fluid, Placental, and Pulmonary Tissue RT-PCR. Appl. Sci. 2021, 11, 9505. https://doi.org/10.3390/app11209505; ISSN: 2076-3417; </w:t>
      </w:r>
      <w:r>
        <w:rPr>
          <w:b/>
        </w:rPr>
        <w:t>FI: 2.838</w:t>
      </w:r>
      <w:r>
        <w:rPr>
          <w:b/>
          <w:i/>
        </w:rPr>
        <w:t xml:space="preserve">  [autor corespondent]</w:t>
      </w:r>
    </w:p>
    <w:p w14:paraId="024CBF20" w14:textId="77777777" w:rsidR="00EE2E98" w:rsidRDefault="00000000">
      <w:pPr>
        <w:spacing w:after="120"/>
        <w:jc w:val="both"/>
      </w:pPr>
      <w:r>
        <w:rPr>
          <w:b/>
        </w:rPr>
        <w:t xml:space="preserve">46. </w:t>
      </w:r>
      <w:r>
        <w:t xml:space="preserve">Dehelean, L.; Papava, I.; Musat, M.I.; Bondrescu, M.; Bratosin, F.; Bucatos, B.O.; Bortun, A.-M.C.; Mager, D.V.; Romosan, R.S.; Romosan, A.-M.; Paczeyka, R.; </w:t>
      </w:r>
      <w:r>
        <w:rPr>
          <w:b/>
        </w:rPr>
        <w:t>Cut, T.G.</w:t>
      </w:r>
      <w:r>
        <w:t xml:space="preserve">; Pescariu, S.A.; Laza, R. Coping Strategies and Stress Related Disorders in Patients with COVID-19. Brain Sci. 2021, 11, 1287. https://doi.org/10.3390/brainsci11101287; ISSN: 2076-3425; </w:t>
      </w:r>
      <w:r>
        <w:rPr>
          <w:b/>
        </w:rPr>
        <w:t>FI: 3.333</w:t>
      </w:r>
    </w:p>
    <w:p w14:paraId="554CE16D" w14:textId="77777777" w:rsidR="00EE2E98" w:rsidRDefault="00000000">
      <w:pPr>
        <w:spacing w:after="120"/>
        <w:jc w:val="both"/>
      </w:pPr>
      <w:r>
        <w:rPr>
          <w:b/>
        </w:rPr>
        <w:t xml:space="preserve">47. </w:t>
      </w:r>
      <w:r>
        <w:t xml:space="preserve">Dumache, R.; </w:t>
      </w:r>
      <w:r>
        <w:rPr>
          <w:b/>
        </w:rPr>
        <w:t>Cut, T.</w:t>
      </w:r>
      <w:r>
        <w:t>; Muresan, C.; Ciocan, V.; Stan, E.; Novacescu, D.; Enache, A. Genetic DNA Identification from Bone Remains in Kinship Analysis Using Automate Extraction System. In Criminology and Post-Mortem Studies—Analyzing Criminal Behaviour and Making Medical Decisions; Palermo, S., Ed.; IntechOpen: London, UK, 2021; ISBN: 978-1-83962-774-3. https://doi.org/10.5772/intechopen.99587. (capitol în volum colectiv internațional)</w:t>
      </w:r>
    </w:p>
    <w:p w14:paraId="0170F24A" w14:textId="77777777" w:rsidR="00EE2E98" w:rsidRDefault="00000000">
      <w:pPr>
        <w:spacing w:after="120"/>
        <w:jc w:val="both"/>
      </w:pPr>
      <w:r>
        <w:rPr>
          <w:b/>
        </w:rPr>
        <w:t xml:space="preserve">48. </w:t>
      </w:r>
      <w:r>
        <w:t xml:space="preserve">Laza, R.; Musta, V.F.; Nicolescu, N.D.; Marinescu, A.R.; Mocanu, A.; Vilceanu, L.; Paczeyka, R.; </w:t>
      </w:r>
      <w:r>
        <w:rPr>
          <w:b/>
        </w:rPr>
        <w:t>Cut, T.G.</w:t>
      </w:r>
      <w:r>
        <w:t xml:space="preserve">; Lazureanu, V.E. Cutaneous Manifestations in SARS-CoV-2 Infection—A Series of Cases from the Largest Infectious Diseases Hospital in Western Romania. Healthcare 2021, 9, 800. https://doi.org/10.3390/healthcare9070800; ISSN: 2227-9032; </w:t>
      </w:r>
      <w:r>
        <w:rPr>
          <w:b/>
        </w:rPr>
        <w:t>FI: 3.160</w:t>
      </w:r>
    </w:p>
    <w:p w14:paraId="650BA346" w14:textId="77777777" w:rsidR="00EE2E98" w:rsidRDefault="00000000">
      <w:pPr>
        <w:spacing w:after="120"/>
        <w:jc w:val="both"/>
      </w:pPr>
      <w:r>
        <w:rPr>
          <w:b/>
        </w:rPr>
        <w:t xml:space="preserve">49. </w:t>
      </w:r>
      <w:r>
        <w:t xml:space="preserve">Tudoran, C.; Tudoran, M.; Pop, G.N.; Giurgi-Oncu, C.; </w:t>
      </w:r>
      <w:r>
        <w:rPr>
          <w:b/>
        </w:rPr>
        <w:t>Cut, T.G.</w:t>
      </w:r>
      <w:r>
        <w:t xml:space="preserve">; Lazureanu, V.E.; Oancea, C.; Parv, F.; Ciocarlie, T.; Bende, F. Associations between the Severity of the Post-Acute COVID-19 Syndrome and Echocardiographic Abnormalities in Previously Healthy Outpatients Following Infection with SARS-CoV-2. Biology 2021, 10, 469. https://doi.org/10.3390/biology10060469; ISSN: 2079-7737; </w:t>
      </w:r>
      <w:r>
        <w:rPr>
          <w:b/>
        </w:rPr>
        <w:t>FI: 5.168</w:t>
      </w:r>
    </w:p>
    <w:p w14:paraId="0A839C96" w14:textId="77777777" w:rsidR="00EE2E98" w:rsidRDefault="00000000">
      <w:pPr>
        <w:spacing w:after="120"/>
        <w:jc w:val="both"/>
      </w:pPr>
      <w:r>
        <w:rPr>
          <w:b/>
        </w:rPr>
        <w:lastRenderedPageBreak/>
        <w:t>50. Cuţ, T.G.</w:t>
      </w:r>
      <w:r>
        <w:t xml:space="preserve">; Tudoran, C.; Lăzureanu, V.E.; Marinescu, A.R.; Dumache, R.; Tudoran, M. Spontaneous Pneumomediastinum, Pneumothorax, Pneumopericardium and Subcutaneous Emphysema—Not So Uncommon Complications in Patients with COVID-19 Pulmonary Infection—A Series of Cases. J. Clin. Med. 2021, 10, 1346. https://doi.org/10.3390/jcm10071346; ISSN: 2077-0383; </w:t>
      </w:r>
      <w:r>
        <w:rPr>
          <w:b/>
        </w:rPr>
        <w:t>FI: 4.964</w:t>
      </w:r>
      <w:r>
        <w:rPr>
          <w:b/>
          <w:i/>
        </w:rPr>
        <w:t xml:space="preserve">  [prim autor]</w:t>
      </w:r>
    </w:p>
    <w:p w14:paraId="761AD180" w14:textId="77777777" w:rsidR="00EE2E98" w:rsidRDefault="00000000">
      <w:pPr>
        <w:spacing w:after="120"/>
        <w:jc w:val="both"/>
      </w:pPr>
      <w:r>
        <w:rPr>
          <w:b/>
        </w:rPr>
        <w:t xml:space="preserve">51. </w:t>
      </w:r>
      <w:r>
        <w:t xml:space="preserve">Tudoran, C.; Tudoran, M.; Lazureanu, V.E.; Marinescu, A.R.; Pop, G.N.; Pescariu, A.S.; Enache, A.; </w:t>
      </w:r>
      <w:r>
        <w:rPr>
          <w:b/>
        </w:rPr>
        <w:t>Cut, T.G.</w:t>
      </w:r>
      <w:r>
        <w:t xml:space="preserve"> Evidence of Pulmonary Hypertension after SARS-CoV-2 Infection in Subjects without Previous Significant Cardiovascular Pathology. J. Clin. Med. 2021, 10, 199. https://doi.org/10.3390/jcm10020199; ISSN: 2077-0383; </w:t>
      </w:r>
      <w:r>
        <w:rPr>
          <w:b/>
        </w:rPr>
        <w:t>FI: 4.964</w:t>
      </w:r>
      <w:r>
        <w:rPr>
          <w:b/>
          <w:i/>
        </w:rPr>
        <w:t xml:space="preserve">  [ultim autor]</w:t>
      </w:r>
    </w:p>
    <w:p w14:paraId="7DE3FF60" w14:textId="77777777" w:rsidR="00EE2E98" w:rsidRDefault="00000000">
      <w:pPr>
        <w:spacing w:after="120"/>
        <w:jc w:val="both"/>
      </w:pPr>
      <w:r>
        <w:rPr>
          <w:b/>
        </w:rPr>
        <w:t xml:space="preserve">52. </w:t>
      </w:r>
      <w:r>
        <w:t xml:space="preserve">Tudoran, M.; Tudoran, C.; Lazureanu, V.E.; Marinescu, A.R.; Pop, G.N.; Pescariu, A.S.; Enache, A.; </w:t>
      </w:r>
      <w:r>
        <w:rPr>
          <w:b/>
        </w:rPr>
        <w:t>Cut, T.G.</w:t>
      </w:r>
      <w:r>
        <w:t xml:space="preserve"> Alterations of Left Ventricular Function Persisting during Post-Acute COVID-19 in Subjects without Previously Diagnosed Cardiovascular Pathology. J. Pers. Med. 2021, 11, 225. https://doi.org/10.3390/jpm11030225; ISSN: 2075-4426; </w:t>
      </w:r>
      <w:r>
        <w:rPr>
          <w:b/>
        </w:rPr>
        <w:t>FI: 3.508</w:t>
      </w:r>
      <w:r>
        <w:rPr>
          <w:b/>
          <w:i/>
        </w:rPr>
        <w:t xml:space="preserve">  [ultim autor]</w:t>
      </w:r>
    </w:p>
    <w:p w14:paraId="2EC90B06" w14:textId="77777777" w:rsidR="00EE2E98" w:rsidRDefault="00000000">
      <w:pPr>
        <w:spacing w:after="120"/>
        <w:jc w:val="both"/>
      </w:pPr>
      <w:r>
        <w:rPr>
          <w:b/>
        </w:rPr>
        <w:t xml:space="preserve">53. </w:t>
      </w:r>
      <w:r>
        <w:t xml:space="preserve">Dumache, R.; Daescu, E.; Ciocan, V.; Muresan, C.; </w:t>
      </w:r>
      <w:r>
        <w:rPr>
          <w:b/>
        </w:rPr>
        <w:t>Cut, T.</w:t>
      </w:r>
      <w:r>
        <w:t xml:space="preserve">; Gavrilita, D.; Enache, A. Molecular Testing of SARS-CoV-2 Infection from Blood Samples in Disseminated Intravascular Coagulation (DIC) and Elevated D-Dimer Levels. Clin. Lab. 2021, 67 (1). https://doi.org/10.7754/Clin.Lab.2020.200704; ISSN: 1433-6510; </w:t>
      </w:r>
      <w:r>
        <w:rPr>
          <w:b/>
        </w:rPr>
        <w:t>FI: 1.14</w:t>
      </w:r>
    </w:p>
    <w:p w14:paraId="71B8B679" w14:textId="77777777" w:rsidR="00EE2E98" w:rsidRDefault="00EE2E98"/>
    <w:p w14:paraId="563D433B" w14:textId="77777777" w:rsidR="00EE2E98" w:rsidRDefault="00EE2E98"/>
    <w:p w14:paraId="07491145" w14:textId="5834A746" w:rsidR="00EE2E98" w:rsidRDefault="00000000">
      <w:pPr>
        <w:spacing w:after="480"/>
      </w:pPr>
      <w:r>
        <w:t xml:space="preserve">Data: </w:t>
      </w:r>
      <w:r w:rsidR="00856F8C">
        <w:t>08</w:t>
      </w:r>
      <w:r>
        <w:t>.06.2026</w:t>
      </w:r>
    </w:p>
    <w:p w14:paraId="19282796" w14:textId="77777777" w:rsidR="00EE2E98" w:rsidRDefault="00000000">
      <w:pPr>
        <w:spacing w:after="560"/>
      </w:pPr>
      <w:r>
        <w:t>Semnătura,</w:t>
      </w:r>
    </w:p>
    <w:p w14:paraId="34835CB7" w14:textId="23F5790A" w:rsidR="00EE2E98" w:rsidRDefault="00000000">
      <w:r>
        <w:t>Novăcescu (Cu</w:t>
      </w:r>
      <w:r w:rsidR="00856F8C">
        <w:t>ț</w:t>
      </w:r>
      <w:r>
        <w:t>) Talida-Georgiana</w:t>
      </w:r>
    </w:p>
    <w:sectPr w:rsidR="00EE2E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2375854">
    <w:abstractNumId w:val="8"/>
  </w:num>
  <w:num w:numId="2" w16cid:durableId="100993795">
    <w:abstractNumId w:val="6"/>
  </w:num>
  <w:num w:numId="3" w16cid:durableId="1720279261">
    <w:abstractNumId w:val="5"/>
  </w:num>
  <w:num w:numId="4" w16cid:durableId="1336568958">
    <w:abstractNumId w:val="4"/>
  </w:num>
  <w:num w:numId="5" w16cid:durableId="1730347686">
    <w:abstractNumId w:val="7"/>
  </w:num>
  <w:num w:numId="6" w16cid:durableId="693993221">
    <w:abstractNumId w:val="3"/>
  </w:num>
  <w:num w:numId="7" w16cid:durableId="1464689215">
    <w:abstractNumId w:val="2"/>
  </w:num>
  <w:num w:numId="8" w16cid:durableId="1139880725">
    <w:abstractNumId w:val="1"/>
  </w:num>
  <w:num w:numId="9" w16cid:durableId="5206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6CEF"/>
    <w:rsid w:val="00856F8C"/>
    <w:rsid w:val="00AA1D8D"/>
    <w:rsid w:val="00B47730"/>
    <w:rsid w:val="00CB0664"/>
    <w:rsid w:val="00EE2E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5C02F"/>
  <w14:defaultImageDpi w14:val="300"/>
  <w15:docId w15:val="{842DAD03-AF7B-460C-B7A1-0071CD58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2975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Talida Cut</cp:lastModifiedBy>
  <cp:revision>2</cp:revision>
  <dcterms:created xsi:type="dcterms:W3CDTF">2013-12-23T23:15:00Z</dcterms:created>
  <dcterms:modified xsi:type="dcterms:W3CDTF">2026-06-04T21:17:00Z</dcterms:modified>
  <cp:category/>
</cp:coreProperties>
</file>