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AA2" w:rsidRPr="00DF2A0D" w:rsidRDefault="00C45AA2" w:rsidP="00C45AA2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b/>
          <w:noProof/>
          <w:lang w:val="ro-RO"/>
        </w:rPr>
      </w:pPr>
      <w:r w:rsidRPr="00DF2A0D">
        <w:rPr>
          <w:rFonts w:ascii="Times New Roman" w:hAnsi="Times New Roman" w:cs="Times New Roman"/>
          <w:bCs/>
          <w:noProof/>
          <w:lang w:val="ro-RO"/>
        </w:rPr>
        <w:t>Nume Prenume</w:t>
      </w:r>
      <w:r w:rsidRPr="00DF2A0D">
        <w:rPr>
          <w:rFonts w:ascii="Times New Roman" w:hAnsi="Times New Roman" w:cs="Times New Roman"/>
          <w:bCs/>
          <w:iCs/>
          <w:lang w:val="ro-RO"/>
        </w:rPr>
        <w:t xml:space="preserve">: </w:t>
      </w:r>
      <w:r w:rsidRPr="00DF2A0D">
        <w:rPr>
          <w:rFonts w:ascii="Times New Roman" w:hAnsi="Times New Roman" w:cs="Times New Roman"/>
          <w:b/>
          <w:iCs/>
          <w:lang w:val="ro-RO"/>
        </w:rPr>
        <w:t>CRINTEA IULIA-NAJETTE</w:t>
      </w:r>
    </w:p>
    <w:p w:rsidR="00C45AA2" w:rsidRPr="00DF2A0D" w:rsidRDefault="00C45AA2" w:rsidP="00C45AA2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bCs/>
          <w:noProof/>
          <w:lang w:val="ro-RO"/>
        </w:rPr>
      </w:pPr>
      <w:r w:rsidRPr="00DF2A0D">
        <w:rPr>
          <w:rFonts w:ascii="Times New Roman" w:hAnsi="Times New Roman" w:cs="Times New Roman"/>
          <w:bCs/>
          <w:noProof/>
          <w:lang w:val="ro-RO"/>
        </w:rPr>
        <w:t>Gradul didactic</w:t>
      </w:r>
      <w:r w:rsidRPr="00DF2A0D">
        <w:rPr>
          <w:rFonts w:ascii="Times New Roman" w:hAnsi="Times New Roman" w:cs="Times New Roman"/>
          <w:bCs/>
          <w:iCs/>
          <w:lang w:val="ro-RO"/>
        </w:rPr>
        <w:t>: ASISTENT UNIVERSITAR</w:t>
      </w:r>
      <w:bookmarkStart w:id="0" w:name="_GoBack"/>
      <w:bookmarkEnd w:id="0"/>
    </w:p>
    <w:p w:rsidR="00C45AA2" w:rsidRPr="00DF2A0D" w:rsidRDefault="00C45AA2" w:rsidP="0021021E">
      <w:pPr>
        <w:autoSpaceDE w:val="0"/>
        <w:autoSpaceDN w:val="0"/>
        <w:adjustRightInd w:val="0"/>
        <w:ind w:left="720" w:hanging="360"/>
        <w:jc w:val="center"/>
        <w:rPr>
          <w:rFonts w:ascii="Times New Roman" w:hAnsi="Times New Roman" w:cs="Times New Roman"/>
        </w:rPr>
      </w:pPr>
    </w:p>
    <w:p w:rsidR="00DE3C98" w:rsidRPr="00DF2A0D" w:rsidRDefault="00DE3C98" w:rsidP="00C45AA2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/>
          <w:noProof/>
          <w:spacing w:val="100"/>
          <w:lang w:val="ro-RO"/>
        </w:rPr>
      </w:pPr>
    </w:p>
    <w:p w:rsidR="00C45AA2" w:rsidRPr="00DF2A0D" w:rsidRDefault="00C45AA2" w:rsidP="00C45AA2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/>
          <w:noProof/>
          <w:spacing w:val="100"/>
          <w:lang w:val="ro-RO"/>
        </w:rPr>
      </w:pPr>
      <w:r w:rsidRPr="00DF2A0D">
        <w:rPr>
          <w:rFonts w:ascii="Times New Roman" w:hAnsi="Times New Roman" w:cs="Times New Roman"/>
          <w:b/>
          <w:noProof/>
          <w:spacing w:val="100"/>
          <w:lang w:val="ro-RO"/>
        </w:rPr>
        <w:t>LISTA COMPLETĂ DE LUCRĂRI</w:t>
      </w:r>
    </w:p>
    <w:p w:rsidR="00C45AA2" w:rsidRPr="00DF2A0D" w:rsidRDefault="00C45AA2" w:rsidP="00C45AA2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/>
          <w:noProof/>
          <w:spacing w:val="100"/>
          <w:lang w:val="ro-RO"/>
        </w:rPr>
      </w:pPr>
    </w:p>
    <w:p w:rsidR="00C45AA2" w:rsidRPr="00DF2A0D" w:rsidRDefault="00C45AA2" w:rsidP="00C45AA2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 w:cs="Times New Roman"/>
          <w:bCs/>
          <w:noProof/>
          <w:lang w:val="ro-RO"/>
        </w:rPr>
      </w:pPr>
    </w:p>
    <w:p w:rsidR="00C45AA2" w:rsidRPr="00DF2A0D" w:rsidRDefault="00073D64" w:rsidP="00C45AA2">
      <w:pPr>
        <w:tabs>
          <w:tab w:val="left" w:pos="399"/>
        </w:tabs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b/>
          <w:noProof/>
          <w:lang w:val="ro-RO"/>
        </w:rPr>
      </w:pPr>
      <w:r>
        <w:rPr>
          <w:rFonts w:ascii="Times New Roman" w:hAnsi="Times New Roman" w:cs="Times New Roman"/>
          <w:b/>
          <w:noProof/>
          <w:lang w:val="ro-RO"/>
        </w:rPr>
        <w:t xml:space="preserve">A. </w:t>
      </w:r>
      <w:r w:rsidR="00C45AA2" w:rsidRPr="00DF2A0D">
        <w:rPr>
          <w:rFonts w:ascii="Times New Roman" w:hAnsi="Times New Roman" w:cs="Times New Roman"/>
          <w:b/>
          <w:noProof/>
          <w:lang w:val="ro-RO"/>
        </w:rPr>
        <w:t>Teza de doctorat</w:t>
      </w:r>
    </w:p>
    <w:p w:rsidR="00C45AA2" w:rsidRPr="00DF2A0D" w:rsidRDefault="00BE61D4" w:rsidP="00C45AA2">
      <w:pPr>
        <w:tabs>
          <w:tab w:val="left" w:pos="399"/>
        </w:tabs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noProof/>
          <w:lang w:val="ro-RO"/>
        </w:rPr>
      </w:pPr>
      <w:r>
        <w:rPr>
          <w:rFonts w:ascii="Times New Roman" w:hAnsi="Times New Roman" w:cs="Times New Roman"/>
          <w:noProof/>
          <w:lang w:val="ro-RO"/>
        </w:rPr>
        <w:t xml:space="preserve"> </w:t>
      </w:r>
      <w:r>
        <w:rPr>
          <w:rFonts w:ascii="Times New Roman" w:hAnsi="Times New Roman" w:cs="Times New Roman"/>
          <w:noProof/>
        </w:rPr>
        <w:t>“</w:t>
      </w:r>
      <w:r w:rsidRPr="00BE61D4">
        <w:rPr>
          <w:rFonts w:ascii="Times New Roman" w:hAnsi="Times New Roman" w:cs="Times New Roman"/>
          <w:i/>
          <w:noProof/>
          <w:lang w:val="ro-RO"/>
        </w:rPr>
        <w:t>FACTORS INVOLVED IN METABOLIC EMERGENCIES</w:t>
      </w:r>
      <w:r>
        <w:rPr>
          <w:rFonts w:ascii="Times New Roman" w:hAnsi="Times New Roman" w:cs="Times New Roman"/>
          <w:noProof/>
        </w:rPr>
        <w:t>”</w:t>
      </w:r>
      <w:r w:rsidR="007D5E16" w:rsidRPr="00DF2A0D">
        <w:rPr>
          <w:rFonts w:ascii="Times New Roman" w:hAnsi="Times New Roman" w:cs="Times New Roman"/>
          <w:noProof/>
          <w:lang w:val="ro-RO"/>
        </w:rPr>
        <w:t>, Timișoara 2025</w:t>
      </w:r>
    </w:p>
    <w:p w:rsidR="00C45AA2" w:rsidRPr="00730DB7" w:rsidRDefault="00C45AA2" w:rsidP="00730DB7">
      <w:pPr>
        <w:rPr>
          <w:rFonts w:ascii="Times New Roman" w:hAnsi="Times New Roman" w:cs="Times New Roman"/>
          <w:bCs/>
          <w:noProof/>
          <w:lang w:val="ro-RO"/>
        </w:rPr>
      </w:pPr>
      <w:r w:rsidRPr="00DF2A0D">
        <w:rPr>
          <w:rFonts w:ascii="Times New Roman" w:hAnsi="Times New Roman" w:cs="Times New Roman"/>
          <w:b/>
          <w:noProof/>
          <w:lang w:val="ro-RO"/>
        </w:rPr>
        <w:t xml:space="preserve">COORDONTATOR: </w:t>
      </w:r>
      <w:r w:rsidRPr="00DF2A0D">
        <w:rPr>
          <w:rFonts w:ascii="Times New Roman" w:hAnsi="Times New Roman" w:cs="Times New Roman"/>
          <w:noProof/>
          <w:lang w:val="ro-RO"/>
        </w:rPr>
        <w:t>PROF. UNIV. DR. TIMAR ROMULUS</w:t>
      </w:r>
    </w:p>
    <w:p w:rsidR="00C45AA2" w:rsidRPr="00DF2A0D" w:rsidRDefault="00C45AA2" w:rsidP="00C45AA2">
      <w:pPr>
        <w:pStyle w:val="ListParagraph"/>
        <w:ind w:left="432"/>
        <w:rPr>
          <w:rFonts w:ascii="Times New Roman" w:hAnsi="Times New Roman" w:cs="Times New Roman"/>
        </w:rPr>
      </w:pPr>
    </w:p>
    <w:p w:rsidR="00C45AA2" w:rsidRPr="00DF2A0D" w:rsidRDefault="00073D64" w:rsidP="00073D64">
      <w:pPr>
        <w:pStyle w:val="ListParagraph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B. </w:t>
      </w:r>
      <w:r w:rsidR="00C45AA2" w:rsidRPr="00DF2A0D">
        <w:rPr>
          <w:rFonts w:ascii="Times New Roman" w:hAnsi="Times New Roman" w:cs="Times New Roman"/>
          <w:b/>
          <w:bCs/>
        </w:rPr>
        <w:t>Articole publicate in extenso în reviste indexate ISI – autor principal</w:t>
      </w:r>
    </w:p>
    <w:p w:rsidR="0021021E" w:rsidRPr="00DF2A0D" w:rsidRDefault="0021021E" w:rsidP="0021021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33BAA">
        <w:rPr>
          <w:rFonts w:ascii="Times New Roman" w:hAnsi="Times New Roman" w:cs="Times New Roman"/>
          <w:b/>
          <w:color w:val="000000"/>
          <w:kern w:val="0"/>
        </w:rPr>
        <w:t>Crintea, I.N</w:t>
      </w:r>
      <w:r w:rsidRPr="00DF2A0D">
        <w:rPr>
          <w:rFonts w:ascii="Times New Roman" w:hAnsi="Times New Roman" w:cs="Times New Roman"/>
          <w:color w:val="000000"/>
          <w:kern w:val="0"/>
        </w:rPr>
        <w:t>.; Cindrea, A.C.; Fulga, T.F.; Trebuian, C.I.; Marza, A.M.; Petrica, A.; Mederle, O.A.; Timar, R. Obesity Class and Severity of Metabolic Emergencies: A Single-Center Retrospective Five-Year Study. Healthcare </w:t>
      </w:r>
      <w:r w:rsidRPr="00DF2A0D">
        <w:rPr>
          <w:rFonts w:ascii="Times New Roman" w:hAnsi="Times New Roman" w:cs="Times New Roman"/>
          <w:b/>
          <w:bCs/>
          <w:color w:val="000000"/>
          <w:kern w:val="0"/>
        </w:rPr>
        <w:t>2025</w:t>
      </w:r>
      <w:r w:rsidRPr="00DF2A0D">
        <w:rPr>
          <w:rFonts w:ascii="Times New Roman" w:hAnsi="Times New Roman" w:cs="Times New Roman"/>
          <w:color w:val="000000"/>
          <w:kern w:val="0"/>
        </w:rPr>
        <w:t>, 13, 617. https://doi.org/10.3390/healthcare13060617</w:t>
      </w:r>
    </w:p>
    <w:p w:rsidR="0021021E" w:rsidRPr="00DF2A0D" w:rsidRDefault="0021021E" w:rsidP="0021021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33BAA">
        <w:rPr>
          <w:rFonts w:ascii="Times New Roman" w:hAnsi="Times New Roman" w:cs="Times New Roman"/>
          <w:b/>
          <w:color w:val="000000"/>
          <w:kern w:val="0"/>
        </w:rPr>
        <w:t>Crintea, I.N</w:t>
      </w:r>
      <w:r w:rsidRPr="00DF2A0D">
        <w:rPr>
          <w:rFonts w:ascii="Times New Roman" w:hAnsi="Times New Roman" w:cs="Times New Roman"/>
          <w:color w:val="000000"/>
          <w:kern w:val="0"/>
        </w:rPr>
        <w:t>.; Cindrea, A.C.; Mederle, O.A.; Trebuian, C.I.; Timar, R. Electrolyte Imbalances and Metabolic Emergencies in Obesity: Mechanisms and Clinical Implications. Diseases </w:t>
      </w:r>
      <w:r w:rsidRPr="00DF2A0D">
        <w:rPr>
          <w:rFonts w:ascii="Times New Roman" w:hAnsi="Times New Roman" w:cs="Times New Roman"/>
          <w:b/>
          <w:bCs/>
          <w:color w:val="000000"/>
          <w:kern w:val="0"/>
        </w:rPr>
        <w:t>2025</w:t>
      </w:r>
      <w:r w:rsidRPr="00DF2A0D">
        <w:rPr>
          <w:rFonts w:ascii="Times New Roman" w:hAnsi="Times New Roman" w:cs="Times New Roman"/>
          <w:color w:val="000000"/>
          <w:kern w:val="0"/>
        </w:rPr>
        <w:t>, 13, 69. https://doi.org/10.3390/diseases13030069</w:t>
      </w:r>
    </w:p>
    <w:p w:rsidR="0021021E" w:rsidRPr="00DF2A0D" w:rsidRDefault="0021021E" w:rsidP="0021021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33BAA">
        <w:rPr>
          <w:rFonts w:ascii="Times New Roman" w:hAnsi="Times New Roman" w:cs="Times New Roman"/>
          <w:b/>
          <w:color w:val="000000"/>
          <w:kern w:val="0"/>
        </w:rPr>
        <w:t>Crintea, I.N</w:t>
      </w:r>
      <w:r w:rsidRPr="00DF2A0D">
        <w:rPr>
          <w:rFonts w:ascii="Times New Roman" w:hAnsi="Times New Roman" w:cs="Times New Roman"/>
          <w:color w:val="000000"/>
          <w:kern w:val="0"/>
        </w:rPr>
        <w:t>.; Cindrea, A.C.; Mederle, O.A.; Fulga, T.F.; Marza, A.M.; Petrica, A.; Trebuian, C.I.; Timar, R. Obesity as a Risk Factor for Hyperglycemia, Electrolyte Disturbances, and Acute Kidney Injury in the Emergency Department. Biomedicines</w:t>
      </w:r>
      <w:r w:rsidRPr="00DF2A0D">
        <w:rPr>
          <w:rFonts w:ascii="Times New Roman" w:hAnsi="Times New Roman" w:cs="Times New Roman"/>
          <w:b/>
          <w:bCs/>
          <w:color w:val="000000"/>
          <w:kern w:val="0"/>
        </w:rPr>
        <w:t>2025</w:t>
      </w:r>
      <w:r w:rsidRPr="00DF2A0D">
        <w:rPr>
          <w:rFonts w:ascii="Times New Roman" w:hAnsi="Times New Roman" w:cs="Times New Roman"/>
          <w:color w:val="000000"/>
          <w:kern w:val="0"/>
        </w:rPr>
        <w:t xml:space="preserve">, 13, 349. </w:t>
      </w:r>
      <w:hyperlink r:id="rId5" w:history="1">
        <w:r w:rsidR="00C45AA2" w:rsidRPr="00DF2A0D">
          <w:rPr>
            <w:rStyle w:val="Hyperlink"/>
            <w:rFonts w:ascii="Times New Roman" w:hAnsi="Times New Roman" w:cs="Times New Roman"/>
            <w:kern w:val="0"/>
          </w:rPr>
          <w:t>https://doi.org/10.3390/biomedicines13020349</w:t>
        </w:r>
      </w:hyperlink>
    </w:p>
    <w:p w:rsidR="00C45AA2" w:rsidRPr="00DF2A0D" w:rsidRDefault="00C45AA2" w:rsidP="00C45AA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:rsidR="00C45AA2" w:rsidRPr="00073D64" w:rsidRDefault="00073D64" w:rsidP="00073D64">
      <w:pPr>
        <w:ind w:left="-284"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C. </w:t>
      </w:r>
      <w:r w:rsidR="00C45AA2" w:rsidRPr="00073D64">
        <w:rPr>
          <w:rFonts w:ascii="Times New Roman" w:hAnsi="Times New Roman" w:cs="Times New Roman"/>
          <w:b/>
          <w:bCs/>
        </w:rPr>
        <w:t>Articole publicate in extenso în reviste indexate ISI – coautor</w:t>
      </w:r>
    </w:p>
    <w:p w:rsidR="0021021E" w:rsidRPr="00DF2A0D" w:rsidRDefault="0021021E" w:rsidP="00C45AA2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F2A0D">
        <w:rPr>
          <w:rFonts w:ascii="Times New Roman" w:hAnsi="Times New Roman" w:cs="Times New Roman"/>
          <w:color w:val="000000"/>
          <w:kern w:val="0"/>
        </w:rPr>
        <w:t xml:space="preserve">Trebuian CI, Popa D, Buleu F, Sutoi D, Williams CG, </w:t>
      </w:r>
      <w:r w:rsidRPr="00D33BAA">
        <w:rPr>
          <w:rFonts w:ascii="Times New Roman" w:hAnsi="Times New Roman" w:cs="Times New Roman"/>
          <w:b/>
          <w:color w:val="000000"/>
          <w:kern w:val="0"/>
        </w:rPr>
        <w:t>Crintea IN</w:t>
      </w:r>
      <w:r w:rsidRPr="00DF2A0D">
        <w:rPr>
          <w:rFonts w:ascii="Times New Roman" w:hAnsi="Times New Roman" w:cs="Times New Roman"/>
          <w:color w:val="000000"/>
          <w:kern w:val="0"/>
        </w:rPr>
        <w:t>, Chioibas RD, Iancu A, Ciolac L, Mederle OA. COVID-19 Related Acute Respiratory Distress Syndrome versus Classical Acute Respiratory Distress Syndrome Patients: Inflammatory Biomarkers as Predictors of Mortality in Pulmonary Septic Shock. Int J Gen Med. 2024;17:3337-3347</w:t>
      </w:r>
      <w:r w:rsidRPr="00DF2A0D">
        <w:rPr>
          <w:rFonts w:ascii="Times New Roman" w:hAnsi="Times New Roman" w:cs="Times New Roman"/>
          <w:color w:val="000000"/>
          <w:kern w:val="0"/>
        </w:rPr>
        <w:br/>
        <w:t>https://doi.org/10.2147/IJGM.S464892</w:t>
      </w:r>
    </w:p>
    <w:p w:rsidR="0021021E" w:rsidRPr="00DF2A0D" w:rsidRDefault="0021021E" w:rsidP="00C45AA2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F2A0D">
        <w:rPr>
          <w:rFonts w:ascii="Times New Roman" w:hAnsi="Times New Roman" w:cs="Times New Roman"/>
          <w:color w:val="000000"/>
          <w:kern w:val="0"/>
        </w:rPr>
        <w:t xml:space="preserve">Trebuian, C.I.; Marza, A.M.; Chioibaş, R.; Şutoi, D.; Petrica, A.; </w:t>
      </w:r>
      <w:r w:rsidRPr="00D33BAA">
        <w:rPr>
          <w:rFonts w:ascii="Times New Roman" w:hAnsi="Times New Roman" w:cs="Times New Roman"/>
          <w:b/>
          <w:color w:val="000000"/>
          <w:kern w:val="0"/>
        </w:rPr>
        <w:t>Crintea-Najette, I</w:t>
      </w:r>
      <w:r w:rsidRPr="00DF2A0D">
        <w:rPr>
          <w:rFonts w:ascii="Times New Roman" w:hAnsi="Times New Roman" w:cs="Times New Roman"/>
          <w:color w:val="000000"/>
          <w:kern w:val="0"/>
        </w:rPr>
        <w:t>.; Popa, D.; Borcan, F.; Flondor, D.; Mederle, O.A. Lactate Profile Assessment—A Good Predictor of Prognosis in Patients with COVID-19 and Septic Shock Requiring Continuous Renal Therapy. Clin. Pract. </w:t>
      </w:r>
      <w:r w:rsidRPr="00DF2A0D">
        <w:rPr>
          <w:rFonts w:ascii="Times New Roman" w:hAnsi="Times New Roman" w:cs="Times New Roman"/>
          <w:b/>
          <w:bCs/>
          <w:color w:val="000000"/>
          <w:kern w:val="0"/>
        </w:rPr>
        <w:t>2024</w:t>
      </w:r>
      <w:r w:rsidRPr="00DF2A0D">
        <w:rPr>
          <w:rFonts w:ascii="Times New Roman" w:hAnsi="Times New Roman" w:cs="Times New Roman"/>
          <w:color w:val="000000"/>
          <w:kern w:val="0"/>
        </w:rPr>
        <w:t>, 14, 980-994. https://doi.org/10.3390/clinpract14030078</w:t>
      </w:r>
    </w:p>
    <w:p w:rsidR="0021021E" w:rsidRPr="00DF2A0D" w:rsidRDefault="0021021E" w:rsidP="00C45AA2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  <w:r w:rsidRPr="00DF2A0D">
        <w:rPr>
          <w:rFonts w:ascii="Times New Roman" w:hAnsi="Times New Roman" w:cs="Times New Roman"/>
          <w:color w:val="000000"/>
          <w:kern w:val="0"/>
        </w:rPr>
        <w:t xml:space="preserve">Trebuian, C.I.; Marza, A.M.; Cindrea, A.C.; Petrica, A.; Onea, S.; Sutoi, D.; Barsac, C.; </w:t>
      </w:r>
      <w:r w:rsidRPr="00D33BAA">
        <w:rPr>
          <w:rFonts w:ascii="Times New Roman" w:hAnsi="Times New Roman" w:cs="Times New Roman"/>
          <w:b/>
          <w:color w:val="000000"/>
          <w:kern w:val="0"/>
        </w:rPr>
        <w:t>Crintea-Najette, I.</w:t>
      </w:r>
      <w:r w:rsidRPr="00DF2A0D">
        <w:rPr>
          <w:rFonts w:ascii="Times New Roman" w:hAnsi="Times New Roman" w:cs="Times New Roman"/>
          <w:color w:val="000000"/>
          <w:kern w:val="0"/>
        </w:rPr>
        <w:t>; Popa, D.; Chioibas, R.; et al. Risk Assessment of Venous Thromboembolism among Septic Shock Patients: Single versus Concurrent Insertion of Central Venous Catheters. Medicina </w:t>
      </w:r>
      <w:r w:rsidRPr="00DF2A0D">
        <w:rPr>
          <w:rFonts w:ascii="Times New Roman" w:hAnsi="Times New Roman" w:cs="Times New Roman"/>
          <w:b/>
          <w:bCs/>
          <w:color w:val="000000"/>
          <w:kern w:val="0"/>
        </w:rPr>
        <w:t>2024</w:t>
      </w:r>
      <w:r w:rsidRPr="00DF2A0D">
        <w:rPr>
          <w:rFonts w:ascii="Times New Roman" w:hAnsi="Times New Roman" w:cs="Times New Roman"/>
          <w:color w:val="000000"/>
          <w:kern w:val="0"/>
        </w:rPr>
        <w:t xml:space="preserve">, 60, 785. </w:t>
      </w:r>
      <w:hyperlink r:id="rId6" w:history="1">
        <w:r w:rsidR="00C45AA2" w:rsidRPr="00DF2A0D">
          <w:rPr>
            <w:rStyle w:val="Hyperlink"/>
            <w:rFonts w:ascii="Times New Roman" w:hAnsi="Times New Roman" w:cs="Times New Roman"/>
            <w:kern w:val="0"/>
          </w:rPr>
          <w:t>https://doi.org/10.3390/medicina60050785</w:t>
        </w:r>
      </w:hyperlink>
    </w:p>
    <w:p w:rsidR="00DF2A0D" w:rsidRPr="00DF2A0D" w:rsidRDefault="00DF2A0D" w:rsidP="00C45AA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p w:rsidR="008B179B" w:rsidRDefault="00073D64" w:rsidP="00073D64">
      <w:pPr>
        <w:ind w:left="360"/>
        <w:rPr>
          <w:rFonts w:ascii="Times New Roman" w:hAnsi="Times New Roman" w:cs="Times New Roman"/>
          <w:b/>
          <w:noProof/>
          <w:spacing w:val="-2"/>
          <w:lang w:val="ro-RO"/>
        </w:rPr>
      </w:pPr>
      <w:r>
        <w:rPr>
          <w:rFonts w:ascii="Times New Roman" w:hAnsi="Times New Roman" w:cs="Times New Roman"/>
          <w:b/>
          <w:noProof/>
          <w:spacing w:val="-2"/>
          <w:lang w:val="ro-RO"/>
        </w:rPr>
        <w:t xml:space="preserve">D. </w:t>
      </w:r>
      <w:r w:rsidR="008B179B">
        <w:rPr>
          <w:rFonts w:ascii="Times New Roman" w:hAnsi="Times New Roman" w:cs="Times New Roman"/>
          <w:b/>
          <w:noProof/>
          <w:spacing w:val="-2"/>
          <w:lang w:val="ro-RO"/>
        </w:rPr>
        <w:t>Articole publicate î</w:t>
      </w:r>
      <w:r w:rsidR="008B179B" w:rsidRPr="008B179B">
        <w:rPr>
          <w:rFonts w:ascii="Times New Roman" w:hAnsi="Times New Roman" w:cs="Times New Roman"/>
          <w:b/>
          <w:noProof/>
          <w:spacing w:val="-2"/>
          <w:lang w:val="ro-RO"/>
        </w:rPr>
        <w:t>n reviste indexate BDI  (co-autor)</w:t>
      </w:r>
    </w:p>
    <w:p w:rsidR="008B179B" w:rsidRDefault="008B179B" w:rsidP="008B179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noProof/>
          <w:spacing w:val="-2"/>
          <w:lang w:val="ro-RO"/>
        </w:rPr>
      </w:pPr>
      <w:r w:rsidRPr="008B179B">
        <w:rPr>
          <w:rFonts w:ascii="Times New Roman" w:hAnsi="Times New Roman" w:cs="Times New Roman"/>
          <w:noProof/>
          <w:spacing w:val="-2"/>
          <w:lang w:val="ro-RO"/>
        </w:rPr>
        <w:t>Olimpia Bunta, Iulia Najette Crintea, Andreea Pop, Adina Nemes, Mariana Pacurar. Therapy with bone-modifying agents in cancer patients: efficacy versus adverse events in dental medicine. Ro J Stomatol. 2021;67(1), DOI: 10.37897/RJS.2021.1.2</w:t>
      </w:r>
    </w:p>
    <w:p w:rsidR="003139CB" w:rsidRPr="008B179B" w:rsidRDefault="003139CB" w:rsidP="003139CB">
      <w:pPr>
        <w:pStyle w:val="ListParagraph"/>
        <w:ind w:left="786"/>
        <w:jc w:val="both"/>
        <w:rPr>
          <w:rFonts w:ascii="Times New Roman" w:hAnsi="Times New Roman" w:cs="Times New Roman"/>
          <w:noProof/>
          <w:spacing w:val="-2"/>
          <w:lang w:val="ro-RO"/>
        </w:rPr>
      </w:pPr>
    </w:p>
    <w:p w:rsidR="00C45AA2" w:rsidRPr="00073D64" w:rsidRDefault="008B179B" w:rsidP="00073D6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pacing w:val="-2"/>
          <w:lang w:val="ro-RO"/>
        </w:rPr>
        <w:t xml:space="preserve">E. </w:t>
      </w:r>
      <w:r w:rsidR="00C45AA2" w:rsidRPr="00073D64">
        <w:rPr>
          <w:rFonts w:ascii="Times New Roman" w:hAnsi="Times New Roman" w:cs="Times New Roman"/>
          <w:b/>
          <w:noProof/>
          <w:spacing w:val="-2"/>
          <w:lang w:val="ro-RO"/>
        </w:rPr>
        <w:t>Cărţi si capitole în cărţi</w:t>
      </w:r>
    </w:p>
    <w:p w:rsidR="00DF2A0D" w:rsidRPr="00DF2A0D" w:rsidRDefault="00DF2A0D" w:rsidP="00DF2A0D">
      <w:pPr>
        <w:pStyle w:val="ListParagraph"/>
        <w:rPr>
          <w:rFonts w:ascii="Times New Roman" w:hAnsi="Times New Roman" w:cs="Times New Roman"/>
          <w:b/>
          <w:bCs/>
        </w:rPr>
      </w:pPr>
      <w:r w:rsidRPr="00DF2A0D">
        <w:rPr>
          <w:rStyle w:val="Strong"/>
          <w:rFonts w:ascii="Times New Roman" w:hAnsi="Times New Roman" w:cs="Times New Roman"/>
          <w:b w:val="0"/>
        </w:rPr>
        <w:t xml:space="preserve">Teste de biologie pentru concursul de admitere tip 1 la Facultăţile de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Medicină</w:t>
      </w:r>
      <w:proofErr w:type="spellEnd"/>
      <w:r w:rsidRPr="00DF2A0D">
        <w:rPr>
          <w:rStyle w:val="Strong"/>
          <w:rFonts w:ascii="Times New Roman" w:hAnsi="Times New Roman" w:cs="Times New Roman"/>
          <w:b w:val="0"/>
        </w:rPr>
        <w:t xml:space="preserve">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şi</w:t>
      </w:r>
      <w:proofErr w:type="spellEnd"/>
      <w:r w:rsidRPr="00DF2A0D">
        <w:rPr>
          <w:rStyle w:val="Strong"/>
          <w:rFonts w:ascii="Times New Roman" w:hAnsi="Times New Roman" w:cs="Times New Roman"/>
          <w:b w:val="0"/>
        </w:rPr>
        <w:t xml:space="preserve">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Medicină</w:t>
      </w:r>
      <w:proofErr w:type="spellEnd"/>
      <w:r w:rsidRPr="00DF2A0D">
        <w:rPr>
          <w:rStyle w:val="Strong"/>
          <w:rFonts w:ascii="Times New Roman" w:hAnsi="Times New Roman" w:cs="Times New Roman"/>
          <w:b w:val="0"/>
        </w:rPr>
        <w:t xml:space="preserve">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Dentară</w:t>
      </w:r>
      <w:proofErr w:type="spellEnd"/>
      <w:r w:rsidRPr="00DF2A0D">
        <w:rPr>
          <w:rStyle w:val="Strong"/>
          <w:rFonts w:ascii="Times New Roman" w:hAnsi="Times New Roman" w:cs="Times New Roman"/>
          <w:b w:val="0"/>
        </w:rPr>
        <w:t xml:space="preserve"> ale </w:t>
      </w:r>
      <w:r w:rsidR="00E62205">
        <w:rPr>
          <w:rStyle w:val="Strong"/>
          <w:rFonts w:ascii="Times New Roman" w:hAnsi="Times New Roman" w:cs="Times New Roman"/>
          <w:b w:val="0"/>
        </w:rPr>
        <w:t xml:space="preserve">UMF </w:t>
      </w:r>
      <w:r w:rsidRPr="00DF2A0D">
        <w:rPr>
          <w:rStyle w:val="Strong"/>
          <w:rFonts w:ascii="Times New Roman" w:hAnsi="Times New Roman" w:cs="Times New Roman"/>
          <w:b w:val="0"/>
        </w:rPr>
        <w:t xml:space="preserve">"Victor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Babeş</w:t>
      </w:r>
      <w:proofErr w:type="spellEnd"/>
      <w:r w:rsidRPr="00DF2A0D">
        <w:rPr>
          <w:rStyle w:val="Strong"/>
          <w:rFonts w:ascii="Times New Roman" w:hAnsi="Times New Roman" w:cs="Times New Roman"/>
          <w:b w:val="0"/>
        </w:rPr>
        <w:t xml:space="preserve">" din </w:t>
      </w:r>
      <w:proofErr w:type="spellStart"/>
      <w:r w:rsidRPr="00DF2A0D">
        <w:rPr>
          <w:rStyle w:val="Strong"/>
          <w:rFonts w:ascii="Times New Roman" w:hAnsi="Times New Roman" w:cs="Times New Roman"/>
          <w:b w:val="0"/>
        </w:rPr>
        <w:t>Timişoara</w:t>
      </w:r>
      <w:proofErr w:type="spellEnd"/>
      <w:r w:rsidRPr="00DF2A0D">
        <w:rPr>
          <w:rFonts w:ascii="Times New Roman" w:hAnsi="Times New Roman" w:cs="Times New Roman"/>
          <w:lang w:val="ro-RO"/>
        </w:rPr>
        <w:t xml:space="preserve">, </w:t>
      </w:r>
      <w:r w:rsidRPr="00DF2A0D">
        <w:rPr>
          <w:rFonts w:ascii="Times New Roman" w:hAnsi="Times New Roman" w:cs="Times New Roman"/>
        </w:rPr>
        <w:t>Edit</w:t>
      </w:r>
      <w:r w:rsidRPr="00DF2A0D">
        <w:rPr>
          <w:rFonts w:ascii="Times New Roman" w:hAnsi="Times New Roman" w:cs="Times New Roman"/>
          <w:lang w:val="ro-RO"/>
        </w:rPr>
        <w:t>ura</w:t>
      </w:r>
      <w:r w:rsidRPr="00DF2A0D">
        <w:rPr>
          <w:rFonts w:ascii="Times New Roman" w:hAnsi="Times New Roman" w:cs="Times New Roman"/>
        </w:rPr>
        <w:t xml:space="preserve"> Victor Babeş, 2</w:t>
      </w:r>
      <w:r w:rsidRPr="00DF2A0D">
        <w:rPr>
          <w:rFonts w:ascii="Times New Roman" w:hAnsi="Times New Roman" w:cs="Times New Roman"/>
          <w:lang w:val="ro-RO"/>
        </w:rPr>
        <w:t>026,</w:t>
      </w:r>
      <w:r w:rsidRPr="00DF2A0D">
        <w:rPr>
          <w:rFonts w:ascii="Times New Roman" w:hAnsi="Times New Roman" w:cs="Times New Roman"/>
        </w:rPr>
        <w:t> ISBN 978-606-786-446-5</w:t>
      </w:r>
    </w:p>
    <w:p w:rsidR="00C45AA2" w:rsidRPr="00DF2A0D" w:rsidRDefault="00C45AA2" w:rsidP="00C45AA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</w:rPr>
      </w:pPr>
    </w:p>
    <w:sectPr w:rsidR="00C45AA2" w:rsidRPr="00DF2A0D" w:rsidSect="00EF743F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113"/>
    <w:multiLevelType w:val="hybridMultilevel"/>
    <w:tmpl w:val="4B5443F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8C7146"/>
    <w:multiLevelType w:val="hybridMultilevel"/>
    <w:tmpl w:val="B4746B6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063515"/>
    <w:multiLevelType w:val="hybridMultilevel"/>
    <w:tmpl w:val="E8C8DE0A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A7BCB"/>
    <w:multiLevelType w:val="hybridMultilevel"/>
    <w:tmpl w:val="0B005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2645E"/>
    <w:multiLevelType w:val="hybridMultilevel"/>
    <w:tmpl w:val="0B005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1E"/>
    <w:rsid w:val="00004330"/>
    <w:rsid w:val="00073D64"/>
    <w:rsid w:val="0021021E"/>
    <w:rsid w:val="00213AEF"/>
    <w:rsid w:val="003139CB"/>
    <w:rsid w:val="00457C17"/>
    <w:rsid w:val="00591207"/>
    <w:rsid w:val="00730DB7"/>
    <w:rsid w:val="007D5E16"/>
    <w:rsid w:val="008B179B"/>
    <w:rsid w:val="00BE61D4"/>
    <w:rsid w:val="00C45AA2"/>
    <w:rsid w:val="00D33BAA"/>
    <w:rsid w:val="00DE3C98"/>
    <w:rsid w:val="00DF2A0D"/>
    <w:rsid w:val="00E62205"/>
    <w:rsid w:val="00EA052E"/>
    <w:rsid w:val="00E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0C7D"/>
  <w15:chartTrackingRefBased/>
  <w15:docId w15:val="{9896F7E0-3275-034B-9071-2E205175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">
    <w:name w:val="Academic"/>
    <w:basedOn w:val="Normal"/>
    <w:next w:val="Normal"/>
    <w:autoRedefine/>
    <w:qFormat/>
    <w:rsid w:val="00457C17"/>
    <w:pPr>
      <w:spacing w:before="120" w:after="120" w:line="360" w:lineRule="auto"/>
      <w:jc w:val="both"/>
    </w:pPr>
    <w:rPr>
      <w:rFonts w:ascii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2102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5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AA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F2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3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medicina60050785" TargetMode="External"/><Relationship Id="rId5" Type="http://schemas.openxmlformats.org/officeDocument/2006/relationships/hyperlink" Target="https://doi.org/10.3390/biomedicines13020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Alexandru-Cristian Cindrea</dc:creator>
  <cp:keywords/>
  <dc:description/>
  <cp:lastModifiedBy>user</cp:lastModifiedBy>
  <cp:revision>27</cp:revision>
  <dcterms:created xsi:type="dcterms:W3CDTF">2025-06-05T05:57:00Z</dcterms:created>
  <dcterms:modified xsi:type="dcterms:W3CDTF">2026-06-03T09:03:00Z</dcterms:modified>
</cp:coreProperties>
</file>