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1CA2" w14:textId="77777777" w:rsidR="00EC4929" w:rsidRPr="006F7991" w:rsidRDefault="00205F5B" w:rsidP="006303CA">
      <w:pPr>
        <w:jc w:val="center"/>
        <w:rPr>
          <w:lang w:val="fr-CA"/>
        </w:rPr>
      </w:pPr>
      <w:r w:rsidRPr="006F7991">
        <w:rPr>
          <w:b/>
          <w:sz w:val="32"/>
          <w:lang w:val="fr-CA"/>
        </w:rPr>
        <w:t>LISTA DE LUCRĂRI</w:t>
      </w:r>
    </w:p>
    <w:p w14:paraId="71ED389B" w14:textId="77777777" w:rsidR="00EC4929" w:rsidRPr="006F7991" w:rsidRDefault="00EC4929" w:rsidP="00205F5B">
      <w:pPr>
        <w:jc w:val="both"/>
        <w:rPr>
          <w:lang w:val="fr-CA"/>
        </w:rPr>
      </w:pPr>
    </w:p>
    <w:p w14:paraId="34A196A2" w14:textId="77777777" w:rsidR="00EC4929" w:rsidRPr="006F7991" w:rsidRDefault="00205F5B" w:rsidP="00205F5B">
      <w:pPr>
        <w:jc w:val="both"/>
        <w:rPr>
          <w:lang w:val="fr-CA"/>
        </w:rPr>
      </w:pPr>
      <w:r w:rsidRPr="006F7991">
        <w:rPr>
          <w:b/>
          <w:sz w:val="26"/>
          <w:lang w:val="fr-CA"/>
        </w:rPr>
        <w:t>I. TEZA DE DOCTORAT</w:t>
      </w:r>
    </w:p>
    <w:p w14:paraId="361C964D" w14:textId="6D97568A" w:rsidR="00EC4929" w:rsidRPr="006F7991" w:rsidRDefault="00205F5B" w:rsidP="00205F5B">
      <w:pPr>
        <w:jc w:val="both"/>
        <w:rPr>
          <w:lang w:val="fr-CA"/>
        </w:rPr>
      </w:pPr>
      <w:r>
        <w:rPr>
          <w:b/>
        </w:rPr>
        <w:t xml:space="preserve">Petruse G. </w:t>
      </w:r>
      <w:r>
        <w:t xml:space="preserve">Pharmacobotanical Studies on </w:t>
      </w:r>
      <w:r w:rsidRPr="0061090B">
        <w:rPr>
          <w:i/>
          <w:iCs/>
        </w:rPr>
        <w:t>Coffea arabica</w:t>
      </w:r>
      <w:r>
        <w:t xml:space="preserve"> and Some Extracts from Green Seeds. </w:t>
      </w:r>
      <w:r w:rsidRPr="006F7991">
        <w:rPr>
          <w:lang w:val="fr-CA"/>
        </w:rPr>
        <w:t>Teză de doctorat, Universitatea de Medicină și Farmacie „Victor Babeș” Timișoara, România, septembrie 2025.</w:t>
      </w:r>
    </w:p>
    <w:p w14:paraId="01BECC76" w14:textId="77777777" w:rsidR="00EC4929" w:rsidRPr="006F7991" w:rsidRDefault="00EC4929" w:rsidP="00205F5B">
      <w:pPr>
        <w:jc w:val="both"/>
        <w:rPr>
          <w:lang w:val="fr-CA"/>
        </w:rPr>
      </w:pPr>
    </w:p>
    <w:p w14:paraId="0FB67F18" w14:textId="77777777" w:rsidR="00EC4929" w:rsidRPr="006F7991" w:rsidRDefault="00205F5B" w:rsidP="00205F5B">
      <w:pPr>
        <w:jc w:val="both"/>
        <w:rPr>
          <w:lang w:val="fr-CA"/>
        </w:rPr>
      </w:pPr>
      <w:r w:rsidRPr="006F7991">
        <w:rPr>
          <w:b/>
          <w:sz w:val="26"/>
          <w:lang w:val="fr-CA"/>
        </w:rPr>
        <w:t>II. CĂRȚI ȘI CAPITOLE ÎN CĂRȚI</w:t>
      </w:r>
    </w:p>
    <w:p w14:paraId="67368659" w14:textId="276F8CD3" w:rsidR="00EC4929" w:rsidRDefault="00205F5B" w:rsidP="00205F5B">
      <w:pPr>
        <w:pStyle w:val="ListNumber"/>
        <w:numPr>
          <w:ilvl w:val="0"/>
          <w:numId w:val="0"/>
        </w:numPr>
        <w:jc w:val="both"/>
      </w:pPr>
      <w:r>
        <w:t xml:space="preserve">Tchiakpe-Antal D.S., Jîjie A.R., </w:t>
      </w:r>
      <w:r>
        <w:rPr>
          <w:b/>
        </w:rPr>
        <w:t xml:space="preserve">Ruse G. </w:t>
      </w:r>
      <w:r>
        <w:t>Lab Guide for Practical Sessions</w:t>
      </w:r>
      <w:r w:rsidR="006F7991">
        <w:t xml:space="preserve"> </w:t>
      </w:r>
      <w:r>
        <w:t>Pharmaceutical Botany. Editura „Victor Babeș”, Timișoara, 2023, 116 p., ISBN 978-606-786-335-2.</w:t>
      </w:r>
    </w:p>
    <w:p w14:paraId="31CCF1E1" w14:textId="77777777" w:rsidR="00EC4929" w:rsidRDefault="00EC4929" w:rsidP="00205F5B">
      <w:pPr>
        <w:jc w:val="both"/>
      </w:pPr>
    </w:p>
    <w:p w14:paraId="1E680DA5" w14:textId="74B5A46A" w:rsidR="00EC4929" w:rsidRPr="00AC36AF" w:rsidRDefault="00205F5B" w:rsidP="00205F5B">
      <w:pPr>
        <w:jc w:val="both"/>
        <w:rPr>
          <w:lang w:val="fr-CA"/>
        </w:rPr>
      </w:pPr>
      <w:r w:rsidRPr="00AC36AF">
        <w:rPr>
          <w:b/>
          <w:sz w:val="26"/>
          <w:lang w:val="fr-CA"/>
        </w:rPr>
        <w:t>III. ARTICOLE PUBLICATE ÎN REVISTE COTATE ISI</w:t>
      </w:r>
      <w:r w:rsidR="00AC36AF" w:rsidRPr="00AC36AF">
        <w:rPr>
          <w:b/>
          <w:sz w:val="26"/>
          <w:lang w:val="fr-CA"/>
        </w:rPr>
        <w:t xml:space="preserve"> </w:t>
      </w:r>
      <w:r w:rsidR="00AC36AF">
        <w:rPr>
          <w:b/>
          <w:sz w:val="26"/>
          <w:lang w:val="fr-CA"/>
        </w:rPr>
        <w:t>SI BDI</w:t>
      </w:r>
    </w:p>
    <w:p w14:paraId="14119D9C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bookmarkStart w:id="0" w:name="_Hlk200706689"/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 xml:space="preserve">, Avram Ș, Munteanu AM, Iftode OA, Vlase L, Vlase AM, et al. Solvent-guided fractionation of green </w:t>
      </w:r>
      <w:r w:rsidRPr="00212F46">
        <w:rPr>
          <w:rFonts w:eastAsia="Arial MT" w:cstheme="minorHAnsi"/>
          <w:i/>
          <w:iCs/>
          <w:szCs w:val="24"/>
        </w:rPr>
        <w:t>Coffea arabica</w:t>
      </w:r>
      <w:r w:rsidRPr="00212F46">
        <w:rPr>
          <w:rFonts w:eastAsia="Arial MT" w:cstheme="minorHAnsi"/>
          <w:szCs w:val="24"/>
        </w:rPr>
        <w:t xml:space="preserve"> seeds uncovers divergent antioxidant and mitochondria-targeted activities. </w:t>
      </w:r>
      <w:r w:rsidRPr="00212F46">
        <w:rPr>
          <w:rFonts w:eastAsia="Arial MT" w:cstheme="minorHAnsi"/>
          <w:i/>
          <w:iCs/>
          <w:szCs w:val="24"/>
        </w:rPr>
        <w:t>Plants</w:t>
      </w:r>
      <w:r w:rsidRPr="00212F46">
        <w:rPr>
          <w:rFonts w:eastAsia="Arial MT" w:cstheme="minorHAnsi"/>
          <w:b/>
          <w:bCs/>
          <w:szCs w:val="24"/>
        </w:rPr>
        <w:t>. 2026;</w:t>
      </w:r>
      <w:r w:rsidRPr="00212F46">
        <w:rPr>
          <w:rFonts w:eastAsia="Arial MT" w:cstheme="minorHAnsi"/>
          <w:szCs w:val="24"/>
        </w:rPr>
        <w:t>15(10):1494.</w:t>
      </w:r>
      <w:r w:rsidRPr="00212F46">
        <w:rPr>
          <w:rFonts w:eastAsia="Arial MT" w:cstheme="minorHAnsi"/>
          <w:color w:val="0070C0"/>
          <w:szCs w:val="24"/>
          <w:u w:val="single"/>
        </w:rPr>
        <w:t>https://doi.org/10.3390/plants15101494</w:t>
      </w:r>
      <w:r w:rsidRPr="00212F46">
        <w:rPr>
          <w:rFonts w:eastAsia="Arial MT" w:cstheme="minorHAnsi"/>
          <w:color w:val="0070C0"/>
          <w:szCs w:val="24"/>
        </w:rPr>
        <w:t xml:space="preserve"> </w:t>
      </w:r>
      <w:r w:rsidRPr="00212F46">
        <w:rPr>
          <w:rFonts w:eastAsia="Arial MT" w:cstheme="minorHAnsi"/>
          <w:szCs w:val="24"/>
        </w:rPr>
        <w:t>(IF=4.1)</w:t>
      </w:r>
    </w:p>
    <w:bookmarkEnd w:id="0"/>
    <w:p w14:paraId="02D81E0D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>, Jîjie A-R, Moacă E-A, Pătrașcu D, Ardelean F, Jojic A-A, Ardelean S, Tchiakpe-Antal D-S. </w:t>
      </w:r>
      <w:r w:rsidRPr="00212F46">
        <w:rPr>
          <w:rFonts w:eastAsia="Arial MT" w:cstheme="minorHAnsi"/>
          <w:i/>
          <w:iCs/>
          <w:szCs w:val="24"/>
        </w:rPr>
        <w:t>Coffea arabica</w:t>
      </w:r>
      <w:r w:rsidRPr="00212F46">
        <w:rPr>
          <w:rFonts w:eastAsia="Arial MT" w:cstheme="minorHAnsi"/>
          <w:szCs w:val="24"/>
        </w:rPr>
        <w:t>: An Emerging Active Ingredient in Dermato-Cosmetic Applications. </w:t>
      </w:r>
      <w:r w:rsidRPr="00212F46">
        <w:rPr>
          <w:rFonts w:eastAsia="Arial MT" w:cstheme="minorHAnsi"/>
          <w:i/>
          <w:iCs/>
          <w:szCs w:val="24"/>
        </w:rPr>
        <w:t>Pharmaceuticals.</w:t>
      </w:r>
      <w:r w:rsidRPr="00212F46">
        <w:rPr>
          <w:rFonts w:eastAsia="Arial MT" w:cstheme="minorHAnsi"/>
          <w:szCs w:val="24"/>
        </w:rPr>
        <w:t> </w:t>
      </w:r>
      <w:r w:rsidRPr="00212F46">
        <w:rPr>
          <w:rFonts w:eastAsia="Arial MT" w:cstheme="minorHAnsi"/>
          <w:b/>
          <w:bCs/>
          <w:szCs w:val="24"/>
        </w:rPr>
        <w:t>2025</w:t>
      </w:r>
      <w:r w:rsidRPr="00212F46">
        <w:rPr>
          <w:rFonts w:eastAsia="Arial MT" w:cstheme="minorHAnsi"/>
          <w:szCs w:val="24"/>
        </w:rPr>
        <w:t>, </w:t>
      </w:r>
      <w:r w:rsidRPr="00212F46">
        <w:rPr>
          <w:rFonts w:eastAsia="Arial MT" w:cstheme="minorHAnsi"/>
          <w:i/>
          <w:iCs/>
          <w:szCs w:val="24"/>
        </w:rPr>
        <w:t>18</w:t>
      </w:r>
      <w:r w:rsidRPr="00212F46">
        <w:rPr>
          <w:rFonts w:eastAsia="Arial MT" w:cstheme="minorHAnsi"/>
          <w:szCs w:val="24"/>
        </w:rPr>
        <w:t xml:space="preserve">, 171. </w:t>
      </w:r>
      <w:hyperlink r:id="rId6" w:history="1">
        <w:r w:rsidRPr="00212F46">
          <w:rPr>
            <w:rFonts w:eastAsia="Arial MT" w:cstheme="minorHAnsi"/>
            <w:color w:val="0000FF"/>
            <w:szCs w:val="24"/>
            <w:u w:val="single"/>
          </w:rPr>
          <w:t>https://doi.org/10.3390/ph18020171</w:t>
        </w:r>
      </w:hyperlink>
      <w:r w:rsidRPr="00212F46">
        <w:rPr>
          <w:rFonts w:eastAsia="Arial MT" w:cstheme="minorHAnsi"/>
          <w:szCs w:val="24"/>
        </w:rPr>
        <w:t xml:space="preserve"> (IF= 4.8)  </w:t>
      </w:r>
    </w:p>
    <w:p w14:paraId="38058AED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b/>
          <w:bCs/>
          <w:szCs w:val="24"/>
          <w:lang w:val="en-GB"/>
        </w:rPr>
        <w:t>Ruse G</w:t>
      </w:r>
      <w:r w:rsidRPr="00212F46">
        <w:rPr>
          <w:rFonts w:eastAsia="Arial MT" w:cstheme="minorHAnsi"/>
          <w:szCs w:val="24"/>
          <w:lang w:val="en-GB"/>
        </w:rPr>
        <w:t xml:space="preserve">, Avram Ș, Jîjie A-R, Vlase A-M, Pătrașcu D, Dumitru R, Drăghici G, Jojic A-A, Ardelean F, Tchiakpe-Antal D-S. Phytochemical profile and a preliminary </w:t>
      </w:r>
      <w:r w:rsidRPr="00212F46">
        <w:rPr>
          <w:rFonts w:eastAsia="Arial MT" w:cstheme="minorHAnsi"/>
          <w:i/>
          <w:iCs/>
          <w:szCs w:val="24"/>
          <w:lang w:val="en-GB"/>
        </w:rPr>
        <w:t>in ovo</w:t>
      </w:r>
      <w:r w:rsidRPr="00212F46">
        <w:rPr>
          <w:rFonts w:eastAsia="Arial MT" w:cstheme="minorHAnsi"/>
          <w:szCs w:val="24"/>
          <w:lang w:val="en-GB"/>
        </w:rPr>
        <w:t xml:space="preserve"> screening of the ethanolic extract of </w:t>
      </w:r>
      <w:r w:rsidRPr="00212F46">
        <w:rPr>
          <w:rFonts w:eastAsia="Arial MT" w:cstheme="minorHAnsi"/>
          <w:i/>
          <w:iCs/>
          <w:szCs w:val="24"/>
          <w:lang w:val="en-GB"/>
        </w:rPr>
        <w:t>Coffea arabica</w:t>
      </w:r>
      <w:r w:rsidRPr="00212F46">
        <w:rPr>
          <w:rFonts w:eastAsia="Arial MT" w:cstheme="minorHAnsi"/>
          <w:szCs w:val="24"/>
          <w:lang w:val="en-GB"/>
        </w:rPr>
        <w:t xml:space="preserve"> green seeds</w:t>
      </w:r>
      <w:r w:rsidRPr="00212F46">
        <w:rPr>
          <w:rFonts w:eastAsia="Arial MT" w:cstheme="minorHAnsi"/>
          <w:i/>
          <w:iCs/>
          <w:szCs w:val="24"/>
          <w:lang w:val="en-GB"/>
        </w:rPr>
        <w:t>. Medicine and Pharmacy Reports</w:t>
      </w:r>
      <w:r w:rsidRPr="00212F46">
        <w:rPr>
          <w:rFonts w:eastAsia="Arial MT" w:cstheme="minorHAnsi"/>
          <w:szCs w:val="24"/>
          <w:lang w:val="en-GB"/>
        </w:rPr>
        <w:t xml:space="preserve">. Clujul Medical. </w:t>
      </w:r>
      <w:r w:rsidRPr="00212F46">
        <w:rPr>
          <w:rFonts w:eastAsia="Arial MT" w:cstheme="minorHAnsi"/>
          <w:b/>
          <w:bCs/>
          <w:szCs w:val="24"/>
          <w:lang w:val="en-GB"/>
        </w:rPr>
        <w:t>2025</w:t>
      </w:r>
      <w:r w:rsidRPr="00212F46">
        <w:rPr>
          <w:rFonts w:eastAsia="Arial MT" w:cstheme="minorHAnsi"/>
          <w:szCs w:val="24"/>
          <w:lang w:val="en-GB"/>
        </w:rPr>
        <w:t xml:space="preserve">. VOL. 98, Nr.2. </w:t>
      </w:r>
      <w:hyperlink r:id="rId7" w:history="1">
        <w:r w:rsidRPr="00212F46">
          <w:rPr>
            <w:rFonts w:eastAsia="Arial MT" w:cstheme="minorHAnsi"/>
            <w:color w:val="0000FF"/>
            <w:szCs w:val="24"/>
            <w:u w:val="single"/>
          </w:rPr>
          <w:t>https://doi.org/10.15386/mpr-2837</w:t>
        </w:r>
      </w:hyperlink>
    </w:p>
    <w:p w14:paraId="47AF7466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 xml:space="preserve">, Tchiakpe-Antal D-S, Moacă E-A, Semenescu A-D, Vlase A-M, Muntean D, Ardelean F, Jojic A-A, Voicu M, Chevereșan A, Hegheș A. </w:t>
      </w:r>
      <w:r w:rsidRPr="00212F46">
        <w:rPr>
          <w:rFonts w:eastAsia="Arial MT" w:cstheme="minorHAnsi"/>
          <w:szCs w:val="24"/>
          <w:lang w:val="en-GB"/>
        </w:rPr>
        <w:t xml:space="preserve">Evaluation of anti-melanoma, antibacterial and antioxidant effects of a phytochemically characterized water-soluble fraction from green coffee seeds. </w:t>
      </w:r>
      <w:r w:rsidRPr="00212F46">
        <w:rPr>
          <w:rFonts w:eastAsia="Arial MT" w:cstheme="minorHAnsi"/>
          <w:i/>
          <w:iCs/>
          <w:szCs w:val="24"/>
        </w:rPr>
        <w:t>Farmacia Journal</w:t>
      </w:r>
      <w:r w:rsidRPr="00212F46">
        <w:rPr>
          <w:rFonts w:eastAsia="Arial MT" w:cstheme="minorHAnsi"/>
          <w:szCs w:val="24"/>
        </w:rPr>
        <w:t xml:space="preserve">. </w:t>
      </w:r>
      <w:r w:rsidRPr="00212F46">
        <w:rPr>
          <w:rFonts w:eastAsia="Arial MT" w:cstheme="minorHAnsi"/>
          <w:b/>
          <w:bCs/>
          <w:szCs w:val="24"/>
        </w:rPr>
        <w:t>2024</w:t>
      </w:r>
      <w:r w:rsidRPr="00212F46">
        <w:rPr>
          <w:rFonts w:eastAsia="Arial MT" w:cstheme="minorHAnsi"/>
          <w:szCs w:val="24"/>
        </w:rPr>
        <w:t>; 6/2024</w:t>
      </w:r>
      <w:r w:rsidRPr="00212F46">
        <w:rPr>
          <w:rFonts w:eastAsia="Arial MT" w:cstheme="minorHAnsi"/>
          <w:b/>
          <w:bCs/>
          <w:szCs w:val="24"/>
        </w:rPr>
        <w:t xml:space="preserve">, </w:t>
      </w:r>
      <w:hyperlink r:id="rId8" w:history="1">
        <w:r w:rsidRPr="00212F46">
          <w:rPr>
            <w:rFonts w:eastAsia="Arial MT" w:cstheme="minorHAnsi"/>
            <w:color w:val="0000FF"/>
            <w:szCs w:val="24"/>
            <w:u w:val="single"/>
          </w:rPr>
          <w:t>https://doi.org/10.31925/farmacia.2024.6.4</w:t>
        </w:r>
      </w:hyperlink>
      <w:r w:rsidRPr="00212F46">
        <w:rPr>
          <w:rFonts w:eastAsia="Arial MT" w:cstheme="minorHAnsi"/>
          <w:szCs w:val="24"/>
          <w:u w:val="single"/>
        </w:rPr>
        <w:t xml:space="preserve"> </w:t>
      </w:r>
      <w:r w:rsidRPr="00212F46">
        <w:rPr>
          <w:rFonts w:eastAsia="Arial MT" w:cstheme="minorHAnsi"/>
          <w:szCs w:val="24"/>
        </w:rPr>
        <w:t>(IF=1.4)</w:t>
      </w:r>
    </w:p>
    <w:p w14:paraId="311156C8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szCs w:val="24"/>
        </w:rPr>
        <w:t xml:space="preserve">Jojic A-A, Semenescu A-D, Predescu I, Drăchici G-A, Muntean D, Ardelean F, </w:t>
      </w:r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 xml:space="preserve"> , Gogulescu A, Șoica I, Hegheș A,Tchiakpe-Antal D-A. Juniperi galbulus: screening of phytochemicals and bioactivity investigation of the aqueous extract. </w:t>
      </w:r>
      <w:r w:rsidRPr="00212F46">
        <w:rPr>
          <w:rFonts w:eastAsia="Arial MT" w:cstheme="minorHAnsi"/>
          <w:i/>
          <w:iCs/>
          <w:szCs w:val="24"/>
        </w:rPr>
        <w:lastRenderedPageBreak/>
        <w:t>Farmacia Journal</w:t>
      </w:r>
      <w:r w:rsidRPr="00212F46">
        <w:rPr>
          <w:rFonts w:eastAsia="Arial MT" w:cstheme="minorHAnsi"/>
          <w:szCs w:val="24"/>
        </w:rPr>
        <w:t xml:space="preserve"> </w:t>
      </w:r>
      <w:r w:rsidRPr="00212F46">
        <w:rPr>
          <w:rFonts w:eastAsia="Arial MT" w:cstheme="minorHAnsi"/>
          <w:b/>
          <w:bCs/>
          <w:szCs w:val="24"/>
        </w:rPr>
        <w:t xml:space="preserve">2024; </w:t>
      </w:r>
      <w:r w:rsidRPr="00212F46">
        <w:rPr>
          <w:rFonts w:eastAsia="Arial MT" w:cstheme="minorHAnsi"/>
          <w:szCs w:val="24"/>
        </w:rPr>
        <w:t>4/2024</w:t>
      </w:r>
      <w:r w:rsidRPr="00212F46">
        <w:rPr>
          <w:rFonts w:eastAsia="Arial MT" w:cstheme="minorHAnsi"/>
          <w:b/>
          <w:bCs/>
          <w:szCs w:val="24"/>
        </w:rPr>
        <w:t>,</w:t>
      </w:r>
      <w:r w:rsidRPr="00212F46">
        <w:rPr>
          <w:rFonts w:eastAsia="Arial MT" w:cstheme="minorHAnsi"/>
          <w:szCs w:val="24"/>
        </w:rPr>
        <w:t xml:space="preserve"> </w:t>
      </w:r>
      <w:hyperlink r:id="rId9" w:history="1">
        <w:r w:rsidRPr="00212F46">
          <w:rPr>
            <w:rFonts w:eastAsia="Arial MT" w:cstheme="minorHAnsi"/>
            <w:color w:val="0000FF"/>
            <w:szCs w:val="24"/>
            <w:u w:val="single"/>
          </w:rPr>
          <w:t>https://doi.org/10.31925/farmacia.2024.4.22</w:t>
        </w:r>
      </w:hyperlink>
      <w:r w:rsidRPr="00212F46">
        <w:rPr>
          <w:rFonts w:eastAsia="Arial MT" w:cstheme="minorHAnsi"/>
          <w:szCs w:val="24"/>
        </w:rPr>
        <w:t xml:space="preserve">  (IF= 1.4)</w:t>
      </w:r>
    </w:p>
    <w:p w14:paraId="013AF573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szCs w:val="24"/>
        </w:rPr>
        <w:t xml:space="preserve">Jojić A-A, Liga S, Uţu D, </w:t>
      </w:r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>, Suciu L, Motoc A, Şoica CM, Tchiakpe-Antal D-S. Beyond Essential Oils: Diterpenes, Lignans, and Biflavonoids from </w:t>
      </w:r>
      <w:r w:rsidRPr="00212F46">
        <w:rPr>
          <w:rFonts w:eastAsia="Arial MT" w:cstheme="minorHAnsi"/>
          <w:i/>
          <w:iCs/>
          <w:szCs w:val="24"/>
        </w:rPr>
        <w:t>Juniperus communis</w:t>
      </w:r>
      <w:r w:rsidRPr="00212F46">
        <w:rPr>
          <w:rFonts w:eastAsia="Arial MT" w:cstheme="minorHAnsi"/>
          <w:szCs w:val="24"/>
        </w:rPr>
        <w:t> L. as a Source of Multi-Target Lead Compounds. </w:t>
      </w:r>
      <w:r w:rsidRPr="00212F46">
        <w:rPr>
          <w:rFonts w:eastAsia="Arial MT" w:cstheme="minorHAnsi"/>
          <w:i/>
          <w:iCs/>
          <w:szCs w:val="24"/>
        </w:rPr>
        <w:t>Plants</w:t>
      </w:r>
      <w:r w:rsidRPr="00212F46">
        <w:rPr>
          <w:rFonts w:eastAsia="Arial MT" w:cstheme="minorHAnsi"/>
          <w:szCs w:val="24"/>
        </w:rPr>
        <w:t> </w:t>
      </w:r>
      <w:r w:rsidRPr="00212F46">
        <w:rPr>
          <w:rFonts w:eastAsia="Arial MT" w:cstheme="minorHAnsi"/>
          <w:b/>
          <w:bCs/>
          <w:szCs w:val="24"/>
        </w:rPr>
        <w:t>2024</w:t>
      </w:r>
      <w:r w:rsidRPr="00212F46">
        <w:rPr>
          <w:rFonts w:eastAsia="Arial MT" w:cstheme="minorHAnsi"/>
          <w:szCs w:val="24"/>
        </w:rPr>
        <w:t>, </w:t>
      </w:r>
      <w:r w:rsidRPr="00212F46">
        <w:rPr>
          <w:rFonts w:eastAsia="Arial MT" w:cstheme="minorHAnsi"/>
          <w:i/>
          <w:iCs/>
          <w:szCs w:val="24"/>
        </w:rPr>
        <w:t>13</w:t>
      </w:r>
      <w:r w:rsidRPr="00212F46">
        <w:rPr>
          <w:rFonts w:eastAsia="Arial MT" w:cstheme="minorHAnsi"/>
          <w:szCs w:val="24"/>
        </w:rPr>
        <w:t xml:space="preserve">, 3233. </w:t>
      </w:r>
      <w:hyperlink r:id="rId10" w:history="1">
        <w:r w:rsidRPr="00212F46">
          <w:rPr>
            <w:rFonts w:eastAsia="Arial MT" w:cstheme="minorHAnsi"/>
            <w:color w:val="0000FF"/>
            <w:szCs w:val="24"/>
            <w:u w:val="single"/>
          </w:rPr>
          <w:t>https://doi.org/10.3390/plants13223233</w:t>
        </w:r>
      </w:hyperlink>
      <w:r w:rsidRPr="00212F46">
        <w:rPr>
          <w:rFonts w:eastAsia="Arial MT" w:cstheme="minorHAnsi"/>
          <w:szCs w:val="24"/>
        </w:rPr>
        <w:t xml:space="preserve"> (IF= 4.0)</w:t>
      </w:r>
    </w:p>
    <w:p w14:paraId="4DE6F87F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szCs w:val="24"/>
        </w:rPr>
        <w:t xml:space="preserve">Manea HC, Olariu I, Predescu IA, Dumitrel SI, Kis A, Hegheș A, Szuhanek C, Popovici R, Jojic A, </w:t>
      </w:r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 xml:space="preserve">, Buzatu R, Dinu Ș. Quercetin-biosafety screening for future applications in the dental field: An in vitro and in ovo investigation. </w:t>
      </w:r>
      <w:r w:rsidRPr="00212F46">
        <w:rPr>
          <w:rFonts w:eastAsia="Arial MT" w:cstheme="minorHAnsi"/>
          <w:i/>
          <w:iCs/>
          <w:szCs w:val="24"/>
        </w:rPr>
        <w:t>Farmacia Journal</w:t>
      </w:r>
      <w:r w:rsidRPr="00212F46">
        <w:rPr>
          <w:rFonts w:eastAsia="Arial MT" w:cstheme="minorHAnsi"/>
          <w:szCs w:val="24"/>
        </w:rPr>
        <w:t xml:space="preserve"> </w:t>
      </w:r>
      <w:r w:rsidRPr="00212F46">
        <w:rPr>
          <w:rFonts w:eastAsia="Arial MT" w:cstheme="minorHAnsi"/>
          <w:b/>
          <w:bCs/>
          <w:szCs w:val="24"/>
        </w:rPr>
        <w:t>2025;</w:t>
      </w:r>
      <w:r w:rsidRPr="00212F46">
        <w:rPr>
          <w:rFonts w:eastAsia="Arial MT" w:cstheme="minorHAnsi"/>
          <w:szCs w:val="24"/>
        </w:rPr>
        <w:t xml:space="preserve"> 73(1):167-177. </w:t>
      </w:r>
      <w:hyperlink r:id="rId11" w:history="1">
        <w:r w:rsidRPr="00212F46">
          <w:rPr>
            <w:rFonts w:eastAsia="Arial MT" w:cstheme="minorHAnsi"/>
            <w:color w:val="0000FF"/>
            <w:szCs w:val="24"/>
            <w:u w:val="single"/>
          </w:rPr>
          <w:t>https</w:t>
        </w:r>
      </w:hyperlink>
      <w:hyperlink r:id="rId12" w:history="1">
        <w:r w:rsidRPr="00212F46">
          <w:rPr>
            <w:rFonts w:eastAsia="Arial MT" w:cstheme="minorHAnsi"/>
            <w:color w:val="0000FF"/>
            <w:szCs w:val="24"/>
            <w:u w:val="single"/>
          </w:rPr>
          <w:t>://</w:t>
        </w:r>
      </w:hyperlink>
      <w:hyperlink r:id="rId13" w:history="1">
        <w:r w:rsidRPr="00212F46">
          <w:rPr>
            <w:rFonts w:eastAsia="Arial MT" w:cstheme="minorHAnsi"/>
            <w:color w:val="0000FF"/>
            <w:szCs w:val="24"/>
            <w:u w:val="single"/>
          </w:rPr>
          <w:t>doi.org/10.31925/farmacia.2025.1.18</w:t>
        </w:r>
      </w:hyperlink>
      <w:r w:rsidRPr="00212F46">
        <w:rPr>
          <w:rFonts w:eastAsia="Arial MT" w:cstheme="minorHAnsi"/>
          <w:szCs w:val="24"/>
        </w:rPr>
        <w:t xml:space="preserve"> (IF= 1.4)</w:t>
      </w:r>
    </w:p>
    <w:p w14:paraId="30D7F110" w14:textId="77777777" w:rsidR="0061090B" w:rsidRPr="00212F46" w:rsidRDefault="0061090B" w:rsidP="00381716">
      <w:pPr>
        <w:widowControl w:val="0"/>
        <w:numPr>
          <w:ilvl w:val="1"/>
          <w:numId w:val="10"/>
        </w:numPr>
        <w:tabs>
          <w:tab w:val="clear" w:pos="1440"/>
          <w:tab w:val="num" w:pos="1134"/>
        </w:tabs>
        <w:autoSpaceDE w:val="0"/>
        <w:autoSpaceDN w:val="0"/>
        <w:spacing w:after="0"/>
        <w:ind w:left="357" w:hanging="357"/>
        <w:jc w:val="both"/>
        <w:rPr>
          <w:rFonts w:eastAsia="Arial MT" w:cstheme="minorHAnsi"/>
          <w:szCs w:val="24"/>
        </w:rPr>
      </w:pPr>
      <w:r w:rsidRPr="00212F46">
        <w:rPr>
          <w:rFonts w:eastAsia="Arial MT" w:cstheme="minorHAnsi"/>
          <w:szCs w:val="24"/>
        </w:rPr>
        <w:t>Căta A,</w:t>
      </w:r>
      <w:r w:rsidRPr="00212F46">
        <w:rPr>
          <w:rFonts w:eastAsia="Arial MT" w:cstheme="minorHAnsi"/>
          <w:szCs w:val="24"/>
          <w:vertAlign w:val="superscript"/>
        </w:rPr>
        <w:t xml:space="preserve"> </w:t>
      </w:r>
      <w:r w:rsidRPr="00212F46">
        <w:rPr>
          <w:rFonts w:eastAsia="Arial MT" w:cstheme="minorHAnsi"/>
          <w:szCs w:val="24"/>
        </w:rPr>
        <w:t>Pop</w:t>
      </w:r>
      <w:r w:rsidRPr="00212F46">
        <w:rPr>
          <w:rFonts w:eastAsia="Arial MT" w:cstheme="minorHAnsi"/>
          <w:szCs w:val="24"/>
          <w:vertAlign w:val="superscript"/>
        </w:rPr>
        <w:t xml:space="preserve"> </w:t>
      </w:r>
      <w:r w:rsidRPr="00212F46">
        <w:rPr>
          <w:rFonts w:eastAsia="Arial MT" w:cstheme="minorHAnsi"/>
          <w:szCs w:val="24"/>
        </w:rPr>
        <w:t>R,</w:t>
      </w:r>
      <w:r w:rsidRPr="00212F46">
        <w:rPr>
          <w:rFonts w:eastAsia="Arial MT" w:cstheme="minorHAnsi"/>
          <w:szCs w:val="24"/>
          <w:vertAlign w:val="superscript"/>
        </w:rPr>
        <w:t xml:space="preserve"> </w:t>
      </w:r>
      <w:r w:rsidRPr="00212F46">
        <w:rPr>
          <w:rFonts w:eastAsia="Arial MT" w:cstheme="minorHAnsi"/>
          <w:szCs w:val="24"/>
        </w:rPr>
        <w:t>Tchiakpe-Antal D-S,</w:t>
      </w:r>
      <w:r w:rsidRPr="00212F46">
        <w:rPr>
          <w:rFonts w:eastAsia="Arial MT" w:cstheme="minorHAnsi"/>
          <w:szCs w:val="24"/>
          <w:vertAlign w:val="superscript"/>
        </w:rPr>
        <w:t xml:space="preserve"> </w:t>
      </w:r>
      <w:r w:rsidRPr="00212F46">
        <w:rPr>
          <w:rFonts w:eastAsia="Arial MT" w:cstheme="minorHAnsi"/>
          <w:szCs w:val="24"/>
        </w:rPr>
        <w:t>Ardelean F,</w:t>
      </w:r>
      <w:r w:rsidRPr="00212F46">
        <w:rPr>
          <w:rFonts w:eastAsia="Arial MT" w:cstheme="minorHAnsi"/>
          <w:szCs w:val="24"/>
          <w:vertAlign w:val="superscript"/>
        </w:rPr>
        <w:t xml:space="preserve"> </w:t>
      </w:r>
      <w:r w:rsidRPr="00212F46">
        <w:rPr>
          <w:rFonts w:eastAsia="Arial MT" w:cstheme="minorHAnsi"/>
          <w:szCs w:val="24"/>
        </w:rPr>
        <w:t xml:space="preserve"> </w:t>
      </w:r>
      <w:r w:rsidRPr="00212F46">
        <w:rPr>
          <w:rFonts w:eastAsia="Arial MT" w:cstheme="minorHAnsi"/>
          <w:b/>
          <w:bCs/>
          <w:szCs w:val="24"/>
        </w:rPr>
        <w:t>Ruse G</w:t>
      </w:r>
      <w:r w:rsidRPr="00212F46">
        <w:rPr>
          <w:rFonts w:eastAsia="Arial MT" w:cstheme="minorHAnsi"/>
          <w:szCs w:val="24"/>
        </w:rPr>
        <w:t>,</w:t>
      </w:r>
      <w:r w:rsidRPr="00212F46">
        <w:rPr>
          <w:rFonts w:eastAsia="Arial MT" w:cstheme="minorHAnsi"/>
          <w:szCs w:val="24"/>
          <w:vertAlign w:val="superscript"/>
        </w:rPr>
        <w:t xml:space="preserve"> </w:t>
      </w:r>
      <w:r w:rsidRPr="00212F46">
        <w:rPr>
          <w:rFonts w:eastAsia="Arial MT" w:cstheme="minorHAnsi"/>
          <w:szCs w:val="24"/>
        </w:rPr>
        <w:t xml:space="preserve">Ienaşcu IMC. Theoretical evaluation of some natural polysaccharides as nanocarriers for the terpene alcohols from essential oils. </w:t>
      </w:r>
      <w:r w:rsidRPr="00212F46">
        <w:rPr>
          <w:rFonts w:eastAsia="Arial MT" w:cstheme="minorHAnsi"/>
          <w:i/>
          <w:iCs/>
          <w:szCs w:val="24"/>
        </w:rPr>
        <w:t>Ovidius University Annals of Chemistry</w:t>
      </w:r>
      <w:r w:rsidRPr="00212F46">
        <w:rPr>
          <w:rFonts w:eastAsia="Arial MT" w:cstheme="minorHAnsi"/>
          <w:szCs w:val="24"/>
        </w:rPr>
        <w:t xml:space="preserve"> . Volume 36, Number 1, pp. 20 - 28, </w:t>
      </w:r>
      <w:r w:rsidRPr="00212F46">
        <w:rPr>
          <w:rFonts w:eastAsia="Arial MT" w:cstheme="minorHAnsi"/>
          <w:b/>
          <w:bCs/>
          <w:szCs w:val="24"/>
        </w:rPr>
        <w:t xml:space="preserve">2025 </w:t>
      </w:r>
      <w:r w:rsidRPr="00212F46">
        <w:rPr>
          <w:rFonts w:eastAsia="Arial MT" w:cstheme="minorHAnsi"/>
          <w:color w:val="0070C0"/>
          <w:szCs w:val="24"/>
          <w:u w:val="single"/>
        </w:rPr>
        <w:t>doi:10.2478/auoc-2025-0003</w:t>
      </w:r>
    </w:p>
    <w:p w14:paraId="6747B858" w14:textId="77777777" w:rsidR="0061090B" w:rsidRPr="00212F46" w:rsidRDefault="0061090B" w:rsidP="00381716">
      <w:pPr>
        <w:widowControl w:val="0"/>
        <w:tabs>
          <w:tab w:val="num" w:pos="1134"/>
          <w:tab w:val="left" w:pos="1233"/>
        </w:tabs>
        <w:autoSpaceDE w:val="0"/>
        <w:autoSpaceDN w:val="0"/>
        <w:spacing w:after="0"/>
        <w:ind w:left="357" w:hanging="357"/>
        <w:jc w:val="both"/>
        <w:rPr>
          <w:rFonts w:cstheme="minorHAnsi"/>
          <w:szCs w:val="24"/>
        </w:rPr>
      </w:pPr>
    </w:p>
    <w:p w14:paraId="566442F6" w14:textId="28A66F89" w:rsidR="00EC4929" w:rsidRDefault="00EC4929" w:rsidP="00381716">
      <w:pPr>
        <w:pStyle w:val="ListNumber"/>
        <w:numPr>
          <w:ilvl w:val="0"/>
          <w:numId w:val="0"/>
        </w:numPr>
        <w:tabs>
          <w:tab w:val="num" w:pos="1134"/>
        </w:tabs>
        <w:spacing w:after="0"/>
        <w:ind w:left="357" w:hanging="357"/>
        <w:jc w:val="both"/>
      </w:pPr>
    </w:p>
    <w:sectPr w:rsidR="00EC49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5C523B3"/>
    <w:multiLevelType w:val="hybridMultilevel"/>
    <w:tmpl w:val="1C901068"/>
    <w:lvl w:ilvl="0" w:tplc="1DFEF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00FA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0A7C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D6B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E6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387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001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6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0D1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5F5B"/>
    <w:rsid w:val="0029639D"/>
    <w:rsid w:val="00326F90"/>
    <w:rsid w:val="00381716"/>
    <w:rsid w:val="0061090B"/>
    <w:rsid w:val="006303CA"/>
    <w:rsid w:val="006F7991"/>
    <w:rsid w:val="00795CFC"/>
    <w:rsid w:val="008013F3"/>
    <w:rsid w:val="00AA1D8D"/>
    <w:rsid w:val="00AC36AF"/>
    <w:rsid w:val="00B47730"/>
    <w:rsid w:val="00CB0664"/>
    <w:rsid w:val="00EC49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11D7C"/>
  <w14:defaultImageDpi w14:val="300"/>
  <w15:docId w15:val="{5CB60229-D539-4C6E-9F2F-69D3B1D1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109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925/farmacia.2024.6.4" TargetMode="External"/><Relationship Id="rId13" Type="http://schemas.openxmlformats.org/officeDocument/2006/relationships/hyperlink" Target="https://doi.org/10.31925/farmacia.2025.1.1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5386/mpr-2837" TargetMode="External"/><Relationship Id="rId12" Type="http://schemas.openxmlformats.org/officeDocument/2006/relationships/hyperlink" Target="https://doi.org/10.31925/farmacia.2025.1.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90/ph18020171" TargetMode="External"/><Relationship Id="rId11" Type="http://schemas.openxmlformats.org/officeDocument/2006/relationships/hyperlink" Target="https://doi.org/10.31925/farmacia.2025.1.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3390/plants132232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925/farmacia.2024.4.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octavian ruse</cp:lastModifiedBy>
  <cp:revision>7</cp:revision>
  <dcterms:created xsi:type="dcterms:W3CDTF">2026-05-24T15:47:00Z</dcterms:created>
  <dcterms:modified xsi:type="dcterms:W3CDTF">2026-05-24T15:55:00Z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4124c631-ec6c-48cf-9fef-4a77a479e20d</vt:lpwstr>
  </property>
</Properties>
</file>