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25B" w:rsidRDefault="0011325B" w:rsidP="0011325B">
      <w:pPr>
        <w:spacing w:after="0"/>
        <w:jc w:val="center"/>
        <w:rPr>
          <w:rFonts w:eastAsia="Times New Roman"/>
          <w:b/>
          <w:sz w:val="24"/>
          <w:szCs w:val="24"/>
          <w:lang w:val="ro-RO"/>
        </w:rPr>
      </w:pPr>
      <w:r>
        <w:rPr>
          <w:rFonts w:eastAsia="Times New Roman"/>
          <w:b/>
          <w:sz w:val="24"/>
          <w:szCs w:val="24"/>
        </w:rPr>
        <w:t>LISTA COMPLET</w:t>
      </w:r>
      <w:r>
        <w:rPr>
          <w:rFonts w:eastAsia="Times New Roman"/>
          <w:b/>
          <w:sz w:val="24"/>
          <w:szCs w:val="24"/>
          <w:lang w:val="ro-RO"/>
        </w:rPr>
        <w:t>Ă DE LUCRĂRI</w:t>
      </w:r>
    </w:p>
    <w:p w:rsidR="0011325B" w:rsidRDefault="0011325B" w:rsidP="0011325B">
      <w:pPr>
        <w:spacing w:after="0"/>
        <w:jc w:val="center"/>
        <w:rPr>
          <w:rFonts w:eastAsia="Times New Roman"/>
          <w:b/>
          <w:sz w:val="24"/>
          <w:szCs w:val="24"/>
        </w:rPr>
      </w:pPr>
      <w:r w:rsidRPr="00AE19C4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SÎRBU MIHNEA-THEODOR</w:t>
      </w:r>
    </w:p>
    <w:p w:rsidR="0011325B" w:rsidRDefault="0011325B" w:rsidP="0011325B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:rsidR="0011325B" w:rsidRDefault="0011325B" w:rsidP="0011325B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>
        <w:rPr>
          <w:rStyle w:val="FontStyle30"/>
          <w:b/>
        </w:rPr>
        <w:t xml:space="preserve">perioadă nedeterminată, poziția 19,  Disciplina Ortopedie-Traumatologie, </w:t>
      </w:r>
    </w:p>
    <w:p w:rsidR="0011325B" w:rsidRDefault="0011325B" w:rsidP="0011325B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>
        <w:rPr>
          <w:rStyle w:val="FontStyle30"/>
          <w:b/>
        </w:rPr>
        <w:t xml:space="preserve">Facultatea de Medicină, Departamanetul Chirurgie II, </w:t>
      </w:r>
    </w:p>
    <w:p w:rsidR="0011325B" w:rsidRPr="0011325B" w:rsidRDefault="0011325B" w:rsidP="0011325B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Fonts w:ascii="Times New Roman" w:hAnsi="Times New Roman"/>
          <w:sz w:val="22"/>
          <w:szCs w:val="22"/>
        </w:rPr>
      </w:pPr>
      <w:r>
        <w:rPr>
          <w:rStyle w:val="FontStyle30"/>
          <w:b/>
        </w:rPr>
        <w:t xml:space="preserve">Universitatea de Medicină și Farmacie </w:t>
      </w:r>
      <w:r>
        <w:rPr>
          <w:rStyle w:val="FontStyle30"/>
          <w:b/>
          <w:lang w:val="en-GB"/>
        </w:rPr>
        <w:t>“</w:t>
      </w:r>
      <w:proofErr w:type="spellStart"/>
      <w:r>
        <w:rPr>
          <w:rStyle w:val="FontStyle30"/>
          <w:b/>
          <w:lang w:val="en-GB"/>
        </w:rPr>
        <w:t>Grigore</w:t>
      </w:r>
      <w:proofErr w:type="spellEnd"/>
      <w:r>
        <w:rPr>
          <w:rStyle w:val="FontStyle30"/>
          <w:b/>
          <w:lang w:val="en-GB"/>
        </w:rPr>
        <w:t xml:space="preserve"> T. </w:t>
      </w:r>
      <w:proofErr w:type="spellStart"/>
      <w:r>
        <w:rPr>
          <w:rStyle w:val="FontStyle30"/>
          <w:b/>
          <w:lang w:val="en-GB"/>
        </w:rPr>
        <w:t>Popa</w:t>
      </w:r>
      <w:proofErr w:type="spellEnd"/>
      <w:r>
        <w:rPr>
          <w:rStyle w:val="FontStyle30"/>
          <w:b/>
          <w:lang w:val="en-GB"/>
        </w:rPr>
        <w:t xml:space="preserve">”, </w:t>
      </w:r>
      <w:proofErr w:type="spellStart"/>
      <w:r>
        <w:rPr>
          <w:rStyle w:val="FontStyle30"/>
          <w:b/>
          <w:lang w:val="en-GB"/>
        </w:rPr>
        <w:t>Ia</w:t>
      </w:r>
      <w:proofErr w:type="spellEnd"/>
      <w:r>
        <w:rPr>
          <w:rStyle w:val="FontStyle30"/>
          <w:b/>
        </w:rPr>
        <w:t>și</w:t>
      </w:r>
    </w:p>
    <w:tbl>
      <w:tblPr>
        <w:tblpPr w:leftFromText="180" w:rightFromText="180" w:vertAnchor="text" w:tblpXSpec="center" w:tblpY="1"/>
        <w:tblOverlap w:val="never"/>
        <w:tblW w:w="10546" w:type="dxa"/>
        <w:tblLayout w:type="fixed"/>
        <w:tblLook w:val="04A0" w:firstRow="1" w:lastRow="0" w:firstColumn="1" w:lastColumn="0" w:noHBand="0" w:noVBand="1"/>
      </w:tblPr>
      <w:tblGrid>
        <w:gridCol w:w="1440"/>
        <w:gridCol w:w="9106"/>
      </w:tblGrid>
      <w:tr w:rsidR="00AE19C4" w:rsidRPr="00AE19C4" w:rsidTr="0011325B">
        <w:trPr>
          <w:cantSplit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:rsidR="00AE19C4" w:rsidRPr="00AE19C4" w:rsidRDefault="00AE19C4" w:rsidP="0011325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:rsidR="0011325B" w:rsidRPr="00561DE4" w:rsidRDefault="0011325B" w:rsidP="0011325B">
            <w:pPr>
              <w:keepNext/>
              <w:spacing w:before="100" w:after="40" w:line="252" w:lineRule="auto"/>
              <w:rPr>
                <w:lang w:val="ro-RO"/>
              </w:rPr>
            </w:pPr>
            <w:r w:rsidRPr="00561DE4">
              <w:rPr>
                <w:b/>
                <w:color w:val="6B3B8D"/>
                <w:lang w:val="ro-RO"/>
              </w:rPr>
              <w:t>Articole publicate in extenso în reviste cotate ISI Thomson Reuters — Autor principal</w:t>
            </w:r>
          </w:p>
          <w:tbl>
            <w:tblPr>
              <w:tblW w:w="1054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8419"/>
            </w:tblGrid>
            <w:tr w:rsidR="0011325B" w:rsidRPr="00561DE4" w:rsidTr="008504E8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t>2025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1. The Use of the Masquelet Technique in the Treatment of Pathological Distal Third Femoral Fracture Secondary to Chronic Osteomyelitis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Tudor, R.C.; Timofte, D.V.; Forna, N.; Bădulescu, O.V.; Savin, L.; Pintea</w:t>
                  </w:r>
                  <w:bookmarkStart w:id="0" w:name="_GoBack"/>
                  <w:bookmarkEnd w:id="0"/>
                  <w:r w:rsidRPr="00561DE4">
                    <w:rPr>
                      <w:sz w:val="17"/>
                      <w:lang w:val="ro-RO"/>
                    </w:rPr>
                    <w:t>lă, T.; Mihăilescu, D.; Ciobotariu, T.; Ciobică, A.; Sîrbu, M.T.; Sîrbu, P.D.; Dragoșloveanu, S.; Capitanu, B.S.; Cergan, R.; Scheau, C. Life - Basel 2025, 15, 537. FI=3.2.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hyperlink r:id="rId7" w:history="1">
                    <w:r w:rsidRPr="00561DE4">
                      <w:rPr>
                        <w:rStyle w:val="Hyperlink"/>
                        <w:lang w:val="ro-RO"/>
                      </w:rPr>
                      <w:t>https://www.mdpi.com/2075-1729/15/4/537</w:t>
                    </w:r>
                  </w:hyperlink>
                </w:p>
              </w:tc>
            </w:tr>
            <w:tr w:rsidR="0011325B" w:rsidRPr="00561DE4" w:rsidTr="008504E8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t>2025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2. Venous Thromboembolism Prophylaxis in Hemophilic Patients Undergoing Total Hip or Knee Arthroplasty: Insights from a Single-Center Experience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Bădulescu, O.V.; Sîrbu, P.D.; Ciocoiu, M.; Vlădeanu, M.C.; Pleșoianu, C.E.; Bojan, A.; Iliescu-Halitchi, D.; Tudor, R.; Huzum, B.; Sîrbu, M.T.; Forna, N.; Sofron, G.; Friedl, W.; Bararu-Bojan, I. Medicina - Lithuania 2025, 61, 570. FI=2.4.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hyperlink r:id="rId8" w:history="1">
                    <w:r w:rsidRPr="00561DE4">
                      <w:rPr>
                        <w:rStyle w:val="Hyperlink"/>
                        <w:lang w:val="ro-RO"/>
                      </w:rPr>
                      <w:t>https://www.mdpi.com/1648-9144/61/4/570</w:t>
                    </w:r>
                  </w:hyperlink>
                </w:p>
              </w:tc>
            </w:tr>
            <w:tr w:rsidR="0011325B" w:rsidRPr="00561DE4" w:rsidTr="008504E8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t>2024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3. Advancements in Modern Surgical Management of Tibial Plateau Fractures: A Comprehensive Review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Forna, N.; Sîrbu, P.D.; Liliana, S.; Eva, L.; Friedl, W.; Carata, E.; Pinteală, T.; Tudor, R.; Sîrbu, M.T. Romanian Journal of Oral Rehabilitation 2024, 16, 289-299. https://doi.org/10.62610/RJOR.2024.4.16.29. FI=0.6.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color w:val="4F4B48"/>
                      <w:lang w:val="ro-RO"/>
                    </w:rPr>
                  </w:pPr>
                  <w:hyperlink r:id="rId9" w:history="1">
                    <w:r w:rsidRPr="00561DE4">
                      <w:rPr>
                        <w:rStyle w:val="Hyperlink"/>
                        <w:lang w:val="ro-RO"/>
                      </w:rPr>
                      <w:t>https://doi.org/10.62610/RJOR.2024.4.16.29</w:t>
                    </w:r>
                  </w:hyperlink>
                </w:p>
              </w:tc>
            </w:tr>
            <w:tr w:rsidR="0011325B" w:rsidRPr="00561DE4" w:rsidTr="008504E8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t>2024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4. Biomechanical Evaluation of Polyaxial Angular Stable Plates in the Management of Tibial Plateau Fractures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Forna, N.; Sîrbu, P.D.; Liliana, S.; Eva, L.; Friedl, W.; Carata, E.; Pinteală, T.; Tudor, R.; Sîrbu, M.T. Romanian Journal of Oral Rehabilitation 2024, 16, 537-550. FI=0.6.</w:t>
                  </w:r>
                </w:p>
                <w:p w:rsidR="0011325B" w:rsidRPr="0011325B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u w:val="single"/>
                      <w:lang w:val="ro-RO"/>
                    </w:rPr>
                  </w:pPr>
                  <w:hyperlink r:id="rId10" w:history="1">
                    <w:r w:rsidRPr="00561DE4">
                      <w:rPr>
                        <w:rStyle w:val="Hyperlink"/>
                        <w:lang w:val="ro-RO"/>
                      </w:rPr>
                      <w:t>https://doi.org/10.62610/RJOR.2024.4.16.52</w:t>
                    </w:r>
                  </w:hyperlink>
                </w:p>
              </w:tc>
            </w:tr>
          </w:tbl>
          <w:p w:rsidR="0011325B" w:rsidRPr="00561DE4" w:rsidRDefault="0011325B" w:rsidP="0011325B">
            <w:pPr>
              <w:keepNext/>
              <w:spacing w:before="100" w:after="40" w:line="252" w:lineRule="auto"/>
              <w:rPr>
                <w:lang w:val="ro-RO"/>
              </w:rPr>
            </w:pPr>
            <w:r w:rsidRPr="00561DE4">
              <w:rPr>
                <w:b/>
                <w:color w:val="6B3B8D"/>
                <w:lang w:val="ro-RO"/>
              </w:rPr>
              <w:t>Articole publicate in extenso în reviste cotate ISI Thomson Reuters — Coautor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8419"/>
            </w:tblGrid>
            <w:tr w:rsidR="0011325B" w:rsidRPr="00561DE4" w:rsidTr="004C16BA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t>2026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5. Exploratory Biomechanical Comparison of Three Posterior Pelvic Ring Fixation Strategies in a Standardized Tile C1.2 Synthetic Model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Carp, A.C.; Dmour, A.; Ștefănoiu, R.; Șerban, N.; Sîrbu, M.T.; Puha, B.; Forna, N.; Savin, L.; Filip, A.; Popescu, D.-C.; Sîrbu, P.-D.; Veliceasa, B. Diagnostics 2026, 16, 1273. FI=3.3.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hyperlink r:id="rId11" w:history="1">
                    <w:r w:rsidRPr="00561DE4">
                      <w:rPr>
                        <w:rStyle w:val="Hyperlink"/>
                        <w:lang w:val="ro-RO"/>
                      </w:rPr>
                      <w:t>https://doi.org/10.3390/diagnostics16091273</w:t>
                    </w:r>
                  </w:hyperlink>
                </w:p>
              </w:tc>
            </w:tr>
            <w:tr w:rsidR="0011325B" w:rsidRPr="00561DE4" w:rsidTr="004C16BA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t>2026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6. Biomechanical Comparison of Type C1.2 Pelvic Ring Fractures: A Finite Element Analysis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Carp, A.C.; Veliceasa, B.; Awad, D.; Filip, A.; Perțea, M.; Forna, N.; Puha, B.; Tîrnovanu, Ș.D.; Sîrbu, M.T.; Pavăl, S.D.; Sîrbu, P.D. Life 2026, 16, 336. FI=3.4.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hyperlink r:id="rId12" w:history="1">
                    <w:r w:rsidRPr="00561DE4">
                      <w:rPr>
                        <w:rStyle w:val="Hyperlink"/>
                        <w:lang w:val="ro-RO"/>
                      </w:rPr>
                      <w:t>https://doi.org/10.3390/life16020336</w:t>
                    </w:r>
                  </w:hyperlink>
                </w:p>
              </w:tc>
            </w:tr>
            <w:tr w:rsidR="0011325B" w:rsidRPr="00561DE4" w:rsidTr="004C16BA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t>2024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7. A Meta-Analytical Way of Systematizing the Use of Hyaluronan Gels for the Relief of Osteoarthritis, Compared with New Treatment Alternatives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Pinteală, T.; Maier, S.S.; Forna, N.; Savin, L.; Sirbu, M.T.; Popescu, D.C.; Cionca, V.D.; Putineanu, D.C.; Sirbu, P.D. Gels 2024, 10, 481. FI=5.0.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hyperlink r:id="rId13" w:history="1">
                    <w:r w:rsidRPr="00561DE4">
                      <w:rPr>
                        <w:rStyle w:val="Hyperlink"/>
                        <w:lang w:val="ro-RO"/>
                      </w:rPr>
                      <w:t>https://doi.org/10.3390/gels10070481</w:t>
                    </w:r>
                  </w:hyperlink>
                </w:p>
              </w:tc>
            </w:tr>
            <w:tr w:rsidR="0011325B" w:rsidRPr="00561DE4" w:rsidTr="004C16BA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t>2024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8. Experimental Study on Rats with Critical-Size Bone Defects Comparing Effects of Autologous Bone Graft, Equine Bone Substitute Bio-Gen Alone or in Association with Platelet-Rich Fibrin (PRF)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lastRenderedPageBreak/>
                    <w:t>Ciobanu, P.; Danciu, M.; Pascu, A.; Gardikiotis, I.; Forna, N.; Sirbu, M.T.; Calistru, A.-E.; Puha, B.; Veliceasa, B.; Sirbu, P.-D. Polymers 2024, 16, 1502. FI=4.7.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hyperlink r:id="rId14" w:history="1">
                    <w:r w:rsidRPr="00561DE4">
                      <w:rPr>
                        <w:rStyle w:val="Hyperlink"/>
                        <w:lang w:val="ro-RO"/>
                      </w:rPr>
                      <w:t>https://doi.org/10.3390/polym16111502</w:t>
                    </w:r>
                  </w:hyperlink>
                </w:p>
              </w:tc>
            </w:tr>
            <w:tr w:rsidR="0011325B" w:rsidRPr="00561DE4" w:rsidTr="004C16BA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lastRenderedPageBreak/>
                    <w:t>2023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9. Updates on Biomaterials Used in Total Hip Arthroplasty (THA)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Savin, L.; Pinteală, T.; Mihai, D.N.; Mihăilescu, D.; Miu, S.S.; Sirbu, M.T.; Veliceasa, B.; Popescu, D.C.; Sirbu, P.D.; Forna, N. Polymers (Basel) 2023 Aug 2;15(15):3278. doi: 10.3390/polym15153278. PMID: 37571172; PMCID: PMC10422432. IF=4.7.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hyperlink r:id="rId15" w:history="1">
                    <w:r w:rsidRPr="00561DE4">
                      <w:rPr>
                        <w:rStyle w:val="Hyperlink"/>
                        <w:lang w:val="ro-RO"/>
                      </w:rPr>
                      <w:t>https://doi.org/10.3390/polym15153278</w:t>
                    </w:r>
                  </w:hyperlink>
                </w:p>
              </w:tc>
            </w:tr>
            <w:tr w:rsidR="0011325B" w:rsidRPr="00561DE4" w:rsidTr="004C16BA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t>2023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10. Dental Antibiotic Prophylaxis in Total Joint Replacement: An Updated Review of Guidelines and Clinical Studies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Mihăilescu, D.; Sirbu, M.T.; Forna, N.; Sirbu, P.D.; Pinteală, T.; Mihai, D.N.; Savin, L. Romanian Journal of Oral Rehabilitation 2023, 15(4), October-December. FI=0.7.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hyperlink r:id="rId16" w:history="1">
                    <w:r w:rsidRPr="00561DE4">
                      <w:rPr>
                        <w:rStyle w:val="Hyperlink"/>
                        <w:lang w:val="ro-RO"/>
                      </w:rPr>
                      <w:t>https://rjor.ro/dental-antibiotic-prophylaxis-in-total-joint-replacement-an-updated-review-of-guidelines-and-clinical-studies/</w:t>
                    </w:r>
                  </w:hyperlink>
                </w:p>
              </w:tc>
            </w:tr>
            <w:tr w:rsidR="0011325B" w:rsidRPr="00561DE4" w:rsidTr="004C16BA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t>2023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11. Thromboembolic Disease in Haemophilic Patients Undergoing Major Orthopaedic Surgery: Is Thromboprophylaxis Mandatory?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Bădulescu, O.V.; Bararu Bojan, I.; Bădescu, M.C.; Filip, N.; Chelșău, A.; Ciocoiu, M.; Vlădeanu, M.; Filip, A.; Forna, N.; Sirbu, M.T.; et al. Diagnostics 2023, 13, 13. FI=3.0.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hyperlink r:id="rId17" w:history="1">
                    <w:r w:rsidRPr="00561DE4">
                      <w:rPr>
                        <w:rStyle w:val="Hyperlink"/>
                        <w:lang w:val="ro-RO"/>
                      </w:rPr>
                      <w:t>https://doi.org/10.3390/diagnostics13010013</w:t>
                    </w:r>
                  </w:hyperlink>
                </w:p>
              </w:tc>
            </w:tr>
            <w:tr w:rsidR="0011325B" w:rsidRPr="00561DE4" w:rsidTr="004C16BA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t>2023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12. Optimizing Orthopedic Outcomes: The Crucial Role of Preoperative Dental Assessment in Hip and Knee Arthroplasty - Narrative Review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Savin, L.; Mihai, D.N.; Pinteală, T.; Mihăilescu, D.; Sîrbu, M.T.; Sirbu, P.D.; Forna, N. Romanian Journal of Oral Rehabilitation 2023, 15(4), October-December. FI=0.7.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hyperlink r:id="rId18" w:history="1">
                    <w:r w:rsidRPr="00561DE4">
                      <w:rPr>
                        <w:rStyle w:val="Hyperlink"/>
                        <w:lang w:val="ro-RO"/>
                      </w:rPr>
                      <w:t>https://rjor.ro/optimizing-orthopedic-outcomes-the-crucial-role-of-preoperative-dental-assessment-in-hip-and-knee-arthroplasty-narrative-review/</w:t>
                    </w:r>
                  </w:hyperlink>
                </w:p>
              </w:tc>
            </w:tr>
            <w:tr w:rsidR="0011325B" w:rsidRPr="00561DE4" w:rsidTr="004C16BA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t>2019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13. The Advantages of Bioresorbable INION® Implants in Traumatology - Design, polymer composition and preliminary results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Scripcaru, A.; Forna, N.; Ciubara, A.; Benea, H.; Veringa, V.; Sirbu, T.; Tudor, R.; Sirbu, P.D. Revista de Materiale Plastice 2019, 56, No. 1, pag. 47-50. IF=1.393.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hyperlink r:id="rId19" w:history="1">
                    <w:r w:rsidRPr="007A2F45">
                      <w:rPr>
                        <w:rStyle w:val="Hyperlink"/>
                        <w:lang w:val="ro-RO"/>
                      </w:rPr>
                      <w:t>https://www.revmaterialeplastice.ro/pdf/9%20scripcaru%201%2019.pdf</w:t>
                    </w:r>
                  </w:hyperlink>
                </w:p>
              </w:tc>
            </w:tr>
            <w:tr w:rsidR="0011325B" w:rsidRPr="00561DE4" w:rsidTr="004C16BA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t>2019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14. Polyethylene mobile bearing in total knee arthroplasties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Sirbu, P.D.; Veringa, V.; Bădulescu, O.V.; Arcana, S.; Forna, N.; Scripcaru, A.; Sirbu, M.T.; Alexa, O. Revista de Materiale Plastice 2019, 56, No. 3, pag. 525-528. IF=1.393.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hyperlink r:id="rId20" w:history="1">
                    <w:r w:rsidRPr="00561DE4">
                      <w:rPr>
                        <w:rStyle w:val="Hyperlink"/>
                        <w:lang w:val="ro-RO"/>
                      </w:rPr>
                      <w:t>https://www.revmaterialeplastice.ro/pdf/11%20SIRBU%20P3%2019.pdf</w:t>
                    </w:r>
                  </w:hyperlink>
                </w:p>
              </w:tc>
            </w:tr>
          </w:tbl>
          <w:p w:rsidR="0011325B" w:rsidRPr="00561DE4" w:rsidRDefault="0011325B" w:rsidP="0011325B">
            <w:pPr>
              <w:keepNext/>
              <w:spacing w:before="100" w:after="40" w:line="252" w:lineRule="auto"/>
              <w:rPr>
                <w:lang w:val="ro-RO"/>
              </w:rPr>
            </w:pPr>
            <w:r w:rsidRPr="00561DE4">
              <w:rPr>
                <w:b/>
                <w:color w:val="6B3B8D"/>
                <w:lang w:val="ro-RO"/>
              </w:rPr>
              <w:t>Articole publicate in extenso în reviste sau volumele unor conferințe internaționale, indexate BDI — Coautor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8419"/>
            </w:tblGrid>
            <w:tr w:rsidR="0011325B" w:rsidRPr="00561DE4" w:rsidTr="004C16BA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t>2021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1. Combined Advantages of the Mobile Bearing Design and Cementless Fixation Technique for Total Knee Arthroplasty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Arcana, Ș.; Savin, L.; Scolobiuc, D.; Forna, N.; Sîrbu, M.T.; Antonescu, I.; Sîrbu, P.D. E-Health and Bioengineering Conference (EHB), Web Conference, Iași, România, 2021, doi:10.1109/EHB52898.2021.9657754.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hyperlink r:id="rId21" w:history="1">
                    <w:r w:rsidRPr="00561DE4">
                      <w:rPr>
                        <w:rStyle w:val="Hyperlink"/>
                        <w:lang w:val="ro-RO"/>
                      </w:rPr>
                      <w:t>https://ieeexplore.ieee.org/document/9657754</w:t>
                    </w:r>
                  </w:hyperlink>
                </w:p>
              </w:tc>
            </w:tr>
            <w:tr w:rsidR="0011325B" w:rsidRPr="00561DE4" w:rsidTr="004C16BA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t>2021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2. Custom-Made Cutting Blocks for Total Knee Arthroplasty: Two Case Reports and Preliminary Results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Tîrnovanu, Ș.D.; Savin, L.; Forna, N.; Scolobiuc, D.; Antonescu, I.C.; Sîrbu, M.T.; Sîrbu, P.D. E-Health and Bioengineering Conference (EHB), Web Conference, Iași, România, 2021, doi:10.1109/EHB52898.2021.9657690.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hyperlink r:id="rId22" w:history="1">
                    <w:r w:rsidRPr="00561DE4">
                      <w:rPr>
                        <w:rStyle w:val="Hyperlink"/>
                        <w:lang w:val="ro-RO"/>
                      </w:rPr>
                      <w:t>https://ieeexplore.ieee.org/document/9657690/</w:t>
                    </w:r>
                  </w:hyperlink>
                </w:p>
              </w:tc>
            </w:tr>
          </w:tbl>
          <w:p w:rsidR="0011325B" w:rsidRPr="00561DE4" w:rsidRDefault="0011325B" w:rsidP="0011325B">
            <w:pPr>
              <w:keepNext/>
              <w:pBdr>
                <w:bottom w:val="single" w:sz="8" w:space="1" w:color="1F5F8B"/>
              </w:pBdr>
              <w:spacing w:before="160" w:after="60" w:line="240" w:lineRule="auto"/>
              <w:rPr>
                <w:lang w:val="ro-RO"/>
              </w:rPr>
            </w:pPr>
            <w:r w:rsidRPr="00561DE4">
              <w:rPr>
                <w:b/>
                <w:color w:val="1F5F8B"/>
                <w:lang w:val="ro-RO"/>
              </w:rPr>
              <w:t>AUTOR CAPITOL CARTE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8419"/>
            </w:tblGrid>
            <w:tr w:rsidR="0011325B" w:rsidRPr="00561DE4" w:rsidTr="004C16BA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t>2025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Capitol suport curs pentru studenți — Editura „Gr. T. Popa”, Iași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b/>
                      <w:i/>
                      <w:color w:val="666666"/>
                      <w:sz w:val="17"/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Materiale de Osteosinteză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lastRenderedPageBreak/>
                    <w:t>Coordonatori: Liliana Savin, Norin Forna, Paul-Dan Sîrbu.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Colectiv de autori: Liliana Savin, Paul-Dan Sîrbu, Norin Forna, Manuela-Gabi Poroh, Ștefan-Dragoș Tîrnovanu, Awad Dmour, Tudor Pinteală, Dan Mihăilescu, Răzvan-Cosmin Tudor, Mihnea Theodor Sîrbu.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 xml:space="preserve">Dispozitive medicale în ortopedie și traumatologie. Note de curs. Editura „Gr. T. Popa”, Iași, 2025. </w:t>
                  </w:r>
                  <w:r w:rsidRPr="00BB6B0A">
                    <w:rPr>
                      <w:sz w:val="17"/>
                      <w:lang w:val="ro-RO"/>
                    </w:rPr>
                    <w:t xml:space="preserve">DOI: 10.22551 / </w:t>
                  </w:r>
                  <w:r>
                    <w:rPr>
                      <w:sz w:val="17"/>
                      <w:lang w:val="ro-RO"/>
                    </w:rPr>
                    <w:t>ISBN:</w:t>
                  </w:r>
                  <w:r w:rsidRPr="00BB6B0A">
                    <w:rPr>
                      <w:sz w:val="17"/>
                      <w:lang w:val="ro-RO"/>
                    </w:rPr>
                    <w:t>978-630-345-135-0</w:t>
                  </w:r>
                </w:p>
              </w:tc>
            </w:tr>
            <w:tr w:rsidR="0011325B" w:rsidRPr="00561DE4" w:rsidTr="004C16BA">
              <w:trPr>
                <w:cantSplit/>
                <w:jc w:val="center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0" w:line="252" w:lineRule="auto"/>
                    <w:suppressOverlap/>
                    <w:jc w:val="right"/>
                    <w:rPr>
                      <w:lang w:val="ro-RO"/>
                    </w:rPr>
                  </w:pPr>
                  <w:r w:rsidRPr="00561DE4">
                    <w:rPr>
                      <w:color w:val="666666"/>
                      <w:sz w:val="16"/>
                      <w:lang w:val="ro-RO"/>
                    </w:rPr>
                    <w:lastRenderedPageBreak/>
                    <w:t>2020</w:t>
                  </w:r>
                </w:p>
              </w:tc>
              <w:tc>
                <w:tcPr>
                  <w:tcW w:w="8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20" w:type="dxa"/>
                    <w:bottom w:w="35" w:type="dxa"/>
                    <w:right w:w="50" w:type="dxa"/>
                  </w:tcMar>
                </w:tcPr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b/>
                      <w:color w:val="13496B"/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 xml:space="preserve">Capitol carte editură internațională </w:t>
                  </w:r>
                </w:p>
                <w:p w:rsidR="0011325B" w:rsidRPr="00561DE4" w:rsidRDefault="0011325B" w:rsidP="0011325B">
                  <w:pPr>
                    <w:keepNext/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color w:val="13496B"/>
                      <w:lang w:val="ro-RO"/>
                    </w:rPr>
                    <w:t>Clinical and Experimental Biomechanical Studies Regarding Innovative Implants in Traumatology</w:t>
                  </w:r>
                  <w:r w:rsidRPr="00561DE4">
                    <w:rPr>
                      <w:lang w:val="ro-RO"/>
                    </w:rPr>
                    <w:t xml:space="preserve"> 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b/>
                      <w:i/>
                      <w:color w:val="666666"/>
                      <w:sz w:val="17"/>
                      <w:lang w:val="ro-RO"/>
                    </w:rPr>
                    <w:t>Recent Advances in Biomechanics, IntechOpen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  <w:r w:rsidRPr="00561DE4">
                    <w:rPr>
                      <w:sz w:val="17"/>
                      <w:lang w:val="ro-RO"/>
                    </w:rPr>
                    <w:t>Paul-Dan Sirbu, Wilhelm Friedl, Dan Mihăilescu, Liliana Savin, Andrei Scripcaru, Norin Forna, Mihnea Theodor Sirbu, Mihaela Perțea, Răzvan Cosmin Tudor.</w:t>
                  </w: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  <w:hyperlink r:id="rId23" w:history="1">
                    <w:r w:rsidRPr="00561DE4">
                      <w:rPr>
                        <w:rStyle w:val="Hyperlink"/>
                        <w:sz w:val="17"/>
                        <w:lang w:val="ro-RO"/>
                      </w:rPr>
                      <w:t>https://doi.org/10.5772/intechopen.91728</w:t>
                    </w:r>
                  </w:hyperlink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sz w:val="17"/>
                      <w:lang w:val="ro-RO"/>
                    </w:rPr>
                  </w:pPr>
                </w:p>
                <w:p w:rsidR="0011325B" w:rsidRPr="00561DE4" w:rsidRDefault="0011325B" w:rsidP="0011325B">
                  <w:pPr>
                    <w:framePr w:hSpace="180" w:wrap="around" w:vAnchor="text" w:hAnchor="text" w:xAlign="center" w:y="1"/>
                    <w:spacing w:after="20" w:line="252" w:lineRule="auto"/>
                    <w:suppressOverlap/>
                    <w:rPr>
                      <w:lang w:val="ro-RO"/>
                    </w:rPr>
                  </w:pPr>
                </w:p>
              </w:tc>
            </w:tr>
          </w:tbl>
          <w:p w:rsidR="00AE19C4" w:rsidRPr="00AE19C4" w:rsidRDefault="00AE19C4" w:rsidP="0011325B">
            <w:pPr>
              <w:spacing w:after="20" w:line="252" w:lineRule="auto"/>
              <w:rPr>
                <w:sz w:val="24"/>
                <w:szCs w:val="24"/>
                <w:lang w:val="ro-RO"/>
              </w:rPr>
            </w:pPr>
          </w:p>
        </w:tc>
      </w:tr>
      <w:tr w:rsidR="00AE19C4" w:rsidRPr="00AE19C4" w:rsidTr="0011325B">
        <w:trPr>
          <w:cantSplit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:rsidR="00AE19C4" w:rsidRPr="00AE19C4" w:rsidRDefault="00AE19C4" w:rsidP="0011325B">
            <w:pPr>
              <w:spacing w:after="0" w:line="252" w:lineRule="auto"/>
              <w:jc w:val="right"/>
              <w:rPr>
                <w:sz w:val="24"/>
                <w:szCs w:val="24"/>
                <w:lang w:val="ro-RO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:rsidR="00AE19C4" w:rsidRPr="00AE19C4" w:rsidRDefault="00AE19C4" w:rsidP="0011325B">
            <w:pPr>
              <w:spacing w:after="20" w:line="252" w:lineRule="auto"/>
              <w:rPr>
                <w:sz w:val="24"/>
                <w:szCs w:val="24"/>
                <w:lang w:val="ro-RO"/>
              </w:rPr>
            </w:pPr>
          </w:p>
        </w:tc>
      </w:tr>
      <w:tr w:rsidR="00AE19C4" w:rsidRPr="00AE19C4" w:rsidTr="0011325B">
        <w:trPr>
          <w:cantSplit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:rsidR="00AE19C4" w:rsidRPr="00AE19C4" w:rsidRDefault="00AE19C4" w:rsidP="0011325B">
            <w:pPr>
              <w:spacing w:after="0" w:line="252" w:lineRule="auto"/>
              <w:jc w:val="right"/>
              <w:rPr>
                <w:sz w:val="24"/>
                <w:szCs w:val="24"/>
                <w:lang w:val="ro-RO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:rsidR="00AE19C4" w:rsidRPr="00AE19C4" w:rsidRDefault="00AE19C4" w:rsidP="0011325B">
            <w:pPr>
              <w:spacing w:after="20" w:line="252" w:lineRule="auto"/>
              <w:rPr>
                <w:sz w:val="24"/>
                <w:szCs w:val="24"/>
                <w:lang w:val="ro-RO"/>
              </w:rPr>
            </w:pPr>
          </w:p>
        </w:tc>
      </w:tr>
    </w:tbl>
    <w:p w:rsidR="00411258" w:rsidRDefault="00411258" w:rsidP="00AE19C4">
      <w:pPr>
        <w:jc w:val="center"/>
      </w:pPr>
    </w:p>
    <w:sectPr w:rsidR="00411258">
      <w:headerReference w:type="default" r:id="rId2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F12" w:rsidRDefault="00B63F12" w:rsidP="0011325B">
      <w:pPr>
        <w:spacing w:after="0" w:line="240" w:lineRule="auto"/>
      </w:pPr>
      <w:r>
        <w:separator/>
      </w:r>
    </w:p>
  </w:endnote>
  <w:endnote w:type="continuationSeparator" w:id="0">
    <w:p w:rsidR="00B63F12" w:rsidRDefault="00B63F12" w:rsidP="00113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F12" w:rsidRDefault="00B63F12" w:rsidP="0011325B">
      <w:pPr>
        <w:spacing w:after="0" w:line="240" w:lineRule="auto"/>
      </w:pPr>
      <w:r>
        <w:separator/>
      </w:r>
    </w:p>
  </w:footnote>
  <w:footnote w:type="continuationSeparator" w:id="0">
    <w:p w:rsidR="00B63F12" w:rsidRDefault="00B63F12" w:rsidP="00113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25B" w:rsidRDefault="001132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61E5C"/>
    <w:multiLevelType w:val="hybridMultilevel"/>
    <w:tmpl w:val="AFE2EC6C"/>
    <w:lvl w:ilvl="0" w:tplc="A85C861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71452"/>
    <w:multiLevelType w:val="hybridMultilevel"/>
    <w:tmpl w:val="8702F54A"/>
    <w:lvl w:ilvl="0" w:tplc="A85C861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47780B2D"/>
    <w:multiLevelType w:val="hybridMultilevel"/>
    <w:tmpl w:val="16D0789E"/>
    <w:lvl w:ilvl="0" w:tplc="A85C861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CBE4DEA"/>
    <w:multiLevelType w:val="hybridMultilevel"/>
    <w:tmpl w:val="16D0789E"/>
    <w:lvl w:ilvl="0" w:tplc="A85C861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D271E97"/>
    <w:multiLevelType w:val="hybridMultilevel"/>
    <w:tmpl w:val="16D0789E"/>
    <w:lvl w:ilvl="0" w:tplc="A85C861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3006E21"/>
    <w:multiLevelType w:val="multilevel"/>
    <w:tmpl w:val="936063F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8127C7D"/>
    <w:multiLevelType w:val="hybridMultilevel"/>
    <w:tmpl w:val="16D0789E"/>
    <w:lvl w:ilvl="0" w:tplc="A85C861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CA63094"/>
    <w:multiLevelType w:val="hybridMultilevel"/>
    <w:tmpl w:val="99A6F130"/>
    <w:lvl w:ilvl="0" w:tplc="A85C861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C59"/>
    <w:rsid w:val="0011325B"/>
    <w:rsid w:val="001619E3"/>
    <w:rsid w:val="001D58B1"/>
    <w:rsid w:val="00411258"/>
    <w:rsid w:val="004231EF"/>
    <w:rsid w:val="008504E8"/>
    <w:rsid w:val="00AE19C4"/>
    <w:rsid w:val="00B63F12"/>
    <w:rsid w:val="00C95C59"/>
    <w:rsid w:val="00D514F6"/>
    <w:rsid w:val="00F10067"/>
    <w:rsid w:val="00F5665B"/>
    <w:rsid w:val="00F9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A09BC"/>
  <w15:chartTrackingRefBased/>
  <w15:docId w15:val="{7E2EA263-6D95-40D5-84D7-949F54BB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5C59"/>
    <w:pPr>
      <w:keepNext/>
      <w:numPr>
        <w:numId w:val="4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C59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C59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5C59"/>
    <w:pPr>
      <w:keepNext/>
      <w:numPr>
        <w:ilvl w:val="3"/>
        <w:numId w:val="4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5C59"/>
    <w:pPr>
      <w:numPr>
        <w:ilvl w:val="4"/>
        <w:numId w:val="4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95C59"/>
    <w:pPr>
      <w:numPr>
        <w:ilvl w:val="5"/>
        <w:numId w:val="4"/>
      </w:numPr>
      <w:spacing w:before="240" w:after="60" w:line="240" w:lineRule="auto"/>
      <w:outlineLvl w:val="5"/>
    </w:pPr>
    <w:rPr>
      <w:rFonts w:eastAsia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C59"/>
    <w:pPr>
      <w:numPr>
        <w:ilvl w:val="6"/>
        <w:numId w:val="4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C59"/>
    <w:pPr>
      <w:numPr>
        <w:ilvl w:val="7"/>
        <w:numId w:val="4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5C59"/>
    <w:pPr>
      <w:numPr>
        <w:ilvl w:val="8"/>
        <w:numId w:val="4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5C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C95C5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5C59"/>
    <w:pPr>
      <w:spacing w:after="200" w:line="276" w:lineRule="auto"/>
      <w:ind w:left="720"/>
      <w:contextualSpacing/>
    </w:pPr>
    <w:rPr>
      <w:rFonts w:eastAsia="Times New Roman" w:cs="Times New Roman"/>
      <w:lang w:val="ro-RO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C95C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C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5C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5C59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5C59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C95C59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C59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C59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5C59"/>
    <w:rPr>
      <w:rFonts w:asciiTheme="majorHAnsi" w:eastAsiaTheme="majorEastAsia" w:hAnsiTheme="majorHAnsi" w:cstheme="majorBidi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14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19C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9C4"/>
    <w:rPr>
      <w:rFonts w:ascii="Segoe UI" w:hAnsi="Segoe UI" w:cs="Segoe UI"/>
      <w:sz w:val="18"/>
      <w:szCs w:val="18"/>
    </w:rPr>
  </w:style>
  <w:style w:type="paragraph" w:customStyle="1" w:styleId="Style18">
    <w:name w:val="Style18"/>
    <w:basedOn w:val="Normal"/>
    <w:rsid w:val="0011325B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Arial Black" w:eastAsia="Times New Roman" w:hAnsi="Arial Black" w:cs="Times New Roman"/>
      <w:sz w:val="24"/>
      <w:szCs w:val="24"/>
      <w:lang w:val="ro-RO" w:eastAsia="ro-RO"/>
    </w:rPr>
  </w:style>
  <w:style w:type="character" w:customStyle="1" w:styleId="FontStyle30">
    <w:name w:val="Font Style30"/>
    <w:rsid w:val="0011325B"/>
    <w:rPr>
      <w:rFonts w:ascii="Times New Roman" w:hAnsi="Times New Roman" w:cs="Times New Roman" w:hint="default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13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25B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113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25B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1648-9144/61/4/570" TargetMode="External"/><Relationship Id="rId13" Type="http://schemas.openxmlformats.org/officeDocument/2006/relationships/hyperlink" Target="https://doi.org/10.3390/gels10070481" TargetMode="External"/><Relationship Id="rId18" Type="http://schemas.openxmlformats.org/officeDocument/2006/relationships/hyperlink" Target="https://rjor.ro/optimizing-orthopedic-outcomes-the-crucial-role-of-preoperative-dental-assessment-in-hip-and-knee-arthroplasty-narrative-review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ieeexplore.ieee.org/document/9657754" TargetMode="External"/><Relationship Id="rId7" Type="http://schemas.openxmlformats.org/officeDocument/2006/relationships/hyperlink" Target="https://www.mdpi.com/2075-1729/15/4/537" TargetMode="External"/><Relationship Id="rId12" Type="http://schemas.openxmlformats.org/officeDocument/2006/relationships/hyperlink" Target="https://doi.org/10.3390/life16020336" TargetMode="External"/><Relationship Id="rId17" Type="http://schemas.openxmlformats.org/officeDocument/2006/relationships/hyperlink" Target="https://doi.org/10.3390/diagnostics1301001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jor.ro/dental-antibiotic-prophylaxis-in-total-joint-replacement-an-updated-review-of-guidelines-and-clinical-studies/" TargetMode="External"/><Relationship Id="rId20" Type="http://schemas.openxmlformats.org/officeDocument/2006/relationships/hyperlink" Target="https://www.revmaterialeplastice.ro/pdf/11%20SIRBU%20P3%2019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390/diagnostics16091273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doi.org/10.3390/polym15153278" TargetMode="External"/><Relationship Id="rId23" Type="http://schemas.openxmlformats.org/officeDocument/2006/relationships/hyperlink" Target="https://doi.org/10.5772/intechopen.91728" TargetMode="External"/><Relationship Id="rId10" Type="http://schemas.openxmlformats.org/officeDocument/2006/relationships/hyperlink" Target="https://doi.org/10.62610/RJOR.2024.4.16.52" TargetMode="External"/><Relationship Id="rId19" Type="http://schemas.openxmlformats.org/officeDocument/2006/relationships/hyperlink" Target="https://www.revmaterialeplastice.ro/pdf/9%20scripcaru%201%201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62610/RJOR.2024.4.16.29" TargetMode="External"/><Relationship Id="rId14" Type="http://schemas.openxmlformats.org/officeDocument/2006/relationships/hyperlink" Target="https://doi.org/10.3390/polym16111502" TargetMode="External"/><Relationship Id="rId22" Type="http://schemas.openxmlformats.org/officeDocument/2006/relationships/hyperlink" Target="https://ieeexplore.ieee.org/document/965769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Norin Forna</dc:creator>
  <cp:keywords/>
  <dc:description/>
  <cp:lastModifiedBy>Norin Forna</cp:lastModifiedBy>
  <cp:revision>3</cp:revision>
  <cp:lastPrinted>2026-05-26T18:04:00Z</cp:lastPrinted>
  <dcterms:created xsi:type="dcterms:W3CDTF">2026-05-26T18:10:00Z</dcterms:created>
  <dcterms:modified xsi:type="dcterms:W3CDTF">2026-05-26T18:11:00Z</dcterms:modified>
</cp:coreProperties>
</file>