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4354" w14:textId="29796DAD" w:rsidR="00C922A1" w:rsidRDefault="003F168C" w:rsidP="003F1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2A5F">
        <w:rPr>
          <w:rFonts w:ascii="Times New Roman" w:hAnsi="Times New Roman" w:cs="Times New Roman"/>
          <w:b/>
          <w:bCs/>
          <w:sz w:val="28"/>
          <w:szCs w:val="28"/>
        </w:rPr>
        <w:t>Listă completă lucrări</w:t>
      </w:r>
    </w:p>
    <w:p w14:paraId="32714C35" w14:textId="77777777" w:rsidR="00412A5F" w:rsidRPr="00412A5F" w:rsidRDefault="00412A5F" w:rsidP="003F1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7D4C2" w14:textId="54B63042" w:rsidR="003F168C" w:rsidRPr="00A375E0" w:rsidRDefault="00A375E0" w:rsidP="00A375E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375E0">
        <w:rPr>
          <w:rFonts w:ascii="Times New Roman" w:hAnsi="Times New Roman" w:cs="Times New Roman"/>
          <w:b/>
          <w:bCs/>
          <w:sz w:val="24"/>
          <w:szCs w:val="24"/>
        </w:rPr>
        <w:t>Articole indexate ISI cu factor de impact</w:t>
      </w:r>
    </w:p>
    <w:p w14:paraId="11F4F769" w14:textId="6DA578C6" w:rsidR="00A375E0" w:rsidRPr="00A375E0" w:rsidRDefault="00A375E0" w:rsidP="00A375E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 principal</w:t>
      </w:r>
    </w:p>
    <w:p w14:paraId="5CBA7797" w14:textId="676894AE" w:rsidR="003F168C" w:rsidRDefault="003F168C" w:rsidP="00412A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12A5F">
        <w:rPr>
          <w:rFonts w:ascii="Times New Roman" w:hAnsi="Times New Roman" w:cs="Times New Roman"/>
          <w:b/>
          <w:bCs/>
          <w:sz w:val="24"/>
          <w:szCs w:val="24"/>
        </w:rPr>
        <w:t>. Bogdănici, C.G.;</w:t>
      </w:r>
      <w:r w:rsidRPr="003F168C">
        <w:rPr>
          <w:rFonts w:ascii="Times New Roman" w:hAnsi="Times New Roman" w:cs="Times New Roman"/>
          <w:sz w:val="24"/>
          <w:szCs w:val="24"/>
        </w:rPr>
        <w:t xml:space="preserve"> Bogdănici, C.M.; Pavel, I.A.; Ganea, C.V.; Donica, V.C.;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Cărăușu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, E.M.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Associations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Nutritional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Obesity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and Ocular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Narrative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Review.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Nutrients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2025, 17, 3798,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Clarivate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Web of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225E6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https://doi.org/10.3390/nu17233798</w:t>
        </w:r>
      </w:hyperlink>
      <w:r w:rsidRPr="003F168C">
        <w:rPr>
          <w:rFonts w:ascii="Times New Roman" w:hAnsi="Times New Roman" w:cs="Times New Roman"/>
          <w:sz w:val="24"/>
          <w:szCs w:val="24"/>
        </w:rPr>
        <w:t xml:space="preserve">, </w:t>
      </w:r>
      <w:r w:rsidRPr="00412A5F">
        <w:rPr>
          <w:rFonts w:ascii="Times New Roman" w:hAnsi="Times New Roman" w:cs="Times New Roman"/>
          <w:b/>
          <w:bCs/>
          <w:sz w:val="24"/>
          <w:szCs w:val="24"/>
        </w:rPr>
        <w:t>Q1, IF=5</w:t>
      </w:r>
      <w:r w:rsidR="00412A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12A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703E5C" w14:textId="6EF4017C" w:rsidR="003F168C" w:rsidRPr="003F168C" w:rsidRDefault="00412A5F" w:rsidP="00412A5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375E0" w:rsidRPr="00412A5F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6B240D31" w14:textId="69571FD3" w:rsidR="003F168C" w:rsidRDefault="003F168C" w:rsidP="00412A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F168C">
        <w:rPr>
          <w:rFonts w:ascii="Times New Roman" w:hAnsi="Times New Roman" w:cs="Times New Roman"/>
          <w:sz w:val="24"/>
          <w:szCs w:val="24"/>
        </w:rPr>
        <w:t xml:space="preserve">. Ganea, C.V.; </w:t>
      </w:r>
      <w:proofErr w:type="spellStart"/>
      <w:r w:rsidRPr="00412A5F">
        <w:rPr>
          <w:rFonts w:ascii="Times New Roman" w:hAnsi="Times New Roman" w:cs="Times New Roman"/>
          <w:b/>
          <w:bCs/>
          <w:sz w:val="24"/>
          <w:szCs w:val="24"/>
        </w:rPr>
        <w:t>Bogdanici</w:t>
      </w:r>
      <w:proofErr w:type="spellEnd"/>
      <w:r w:rsidRPr="00412A5F">
        <w:rPr>
          <w:rFonts w:ascii="Times New Roman" w:hAnsi="Times New Roman" w:cs="Times New Roman"/>
          <w:b/>
          <w:bCs/>
          <w:sz w:val="24"/>
          <w:szCs w:val="24"/>
        </w:rPr>
        <w:t>, C.G. (autor corespondent);</w:t>
      </w:r>
      <w:r w:rsidRPr="003F168C">
        <w:rPr>
          <w:rFonts w:ascii="Times New Roman" w:hAnsi="Times New Roman" w:cs="Times New Roman"/>
          <w:sz w:val="24"/>
          <w:szCs w:val="24"/>
        </w:rPr>
        <w:t xml:space="preserve"> Anton, N.; Sandu, C.A.;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Bilha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, I.M.; Alexa, A.I.; Donica, V.C.; Pavel, I.A.;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Ciuntu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, R.E.;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Bogdanici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, C.M.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Alterations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Crystallization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Pattern of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Tear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Fluid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Induced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Increases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Body Mass Index. Life 2026, 16, 210. </w:t>
      </w:r>
      <w:hyperlink r:id="rId10" w:history="1">
        <w:r w:rsidRPr="00225E6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https://doi.org/10.3390/life16020210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r w:rsidRPr="00412A5F">
        <w:rPr>
          <w:rFonts w:ascii="Times New Roman" w:hAnsi="Times New Roman" w:cs="Times New Roman"/>
          <w:b/>
          <w:bCs/>
          <w:sz w:val="24"/>
          <w:szCs w:val="24"/>
        </w:rPr>
        <w:t>Q1; IF=3,4</w:t>
      </w:r>
      <w:r w:rsidR="00412A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C25E4F" w14:textId="52B3C5E3" w:rsidR="00A375E0" w:rsidRPr="003F168C" w:rsidRDefault="00412A5F" w:rsidP="00412A5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375E0" w:rsidRPr="00412A5F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79CFB575" w14:textId="4030169B" w:rsidR="003F168C" w:rsidRDefault="003F168C" w:rsidP="00412A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F168C">
        <w:rPr>
          <w:rFonts w:ascii="Times New Roman" w:hAnsi="Times New Roman" w:cs="Times New Roman"/>
          <w:sz w:val="24"/>
          <w:szCs w:val="24"/>
        </w:rPr>
        <w:t xml:space="preserve">. Pavel I.A.,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Bogdanici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C.M.*, Donica V.C., </w:t>
      </w:r>
      <w:r w:rsidRPr="00412A5F">
        <w:rPr>
          <w:rFonts w:ascii="Times New Roman" w:hAnsi="Times New Roman" w:cs="Times New Roman"/>
          <w:b/>
          <w:bCs/>
          <w:sz w:val="24"/>
          <w:szCs w:val="24"/>
        </w:rPr>
        <w:t>Bogdănici C.G</w:t>
      </w:r>
      <w:r w:rsidRPr="003F168C">
        <w:rPr>
          <w:rFonts w:ascii="Times New Roman" w:hAnsi="Times New Roman" w:cs="Times New Roman"/>
          <w:sz w:val="24"/>
          <w:szCs w:val="24"/>
        </w:rPr>
        <w:t xml:space="preserve">., Vision and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quality: A comparative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. Med.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. J. –Rev. Med. Chir. Soc. Med. Nat., </w:t>
      </w:r>
      <w:proofErr w:type="spellStart"/>
      <w:r w:rsidRPr="003F168C">
        <w:rPr>
          <w:rFonts w:ascii="Times New Roman" w:hAnsi="Times New Roman" w:cs="Times New Roman"/>
          <w:sz w:val="24"/>
          <w:szCs w:val="24"/>
        </w:rPr>
        <w:t>Iaşi</w:t>
      </w:r>
      <w:proofErr w:type="spellEnd"/>
      <w:r w:rsidRPr="003F168C">
        <w:rPr>
          <w:rFonts w:ascii="Times New Roman" w:hAnsi="Times New Roman" w:cs="Times New Roman"/>
          <w:sz w:val="24"/>
          <w:szCs w:val="24"/>
        </w:rPr>
        <w:t xml:space="preserve"> 2024, 128(4):766-773, </w:t>
      </w:r>
      <w:hyperlink r:id="rId12" w:history="1">
        <w:r w:rsidRPr="00225E67">
          <w:rPr>
            <w:rStyle w:val="Hyperlink"/>
            <w:rFonts w:ascii="Times New Roman" w:hAnsi="Times New Roman" w:cs="Times New Roman"/>
            <w:sz w:val="24"/>
            <w:szCs w:val="24"/>
          </w:rPr>
          <w:t>http://doi.org/10.22551/MSJ.2024.04.10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A5F">
        <w:rPr>
          <w:rFonts w:ascii="Times New Roman" w:hAnsi="Times New Roman" w:cs="Times New Roman"/>
          <w:b/>
          <w:bCs/>
          <w:sz w:val="24"/>
          <w:szCs w:val="24"/>
        </w:rPr>
        <w:t>Q4, IF=0,2</w:t>
      </w:r>
      <w:r w:rsidR="00412A5F">
        <w:rPr>
          <w:rFonts w:ascii="Times New Roman" w:hAnsi="Times New Roman" w:cs="Times New Roman"/>
          <w:sz w:val="24"/>
          <w:szCs w:val="24"/>
        </w:rPr>
        <w:t>.</w:t>
      </w:r>
    </w:p>
    <w:p w14:paraId="2BA8C89A" w14:textId="40C99D04" w:rsidR="00A375E0" w:rsidRPr="003F168C" w:rsidRDefault="00412A5F" w:rsidP="00412A5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A375E0" w:rsidRPr="00412A5F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21FBFCE4" w14:textId="68F327E8" w:rsidR="00A375E0" w:rsidRPr="00A375E0" w:rsidRDefault="00A375E0" w:rsidP="00412A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75E0">
        <w:rPr>
          <w:rFonts w:ascii="Times New Roman" w:hAnsi="Times New Roman" w:cs="Times New Roman"/>
          <w:b/>
          <w:bCs/>
          <w:sz w:val="24"/>
          <w:szCs w:val="24"/>
        </w:rPr>
        <w:tab/>
        <w:t>Coautor</w:t>
      </w:r>
    </w:p>
    <w:p w14:paraId="5C66898E" w14:textId="0FE001BE" w:rsidR="003F168C" w:rsidRDefault="00A375E0" w:rsidP="00412A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375E0">
        <w:rPr>
          <w:rFonts w:ascii="Times New Roman" w:hAnsi="Times New Roman" w:cs="Times New Roman"/>
          <w:sz w:val="24"/>
          <w:szCs w:val="24"/>
        </w:rPr>
        <w:t xml:space="preserve">Ganea CV, Sandu CA, </w:t>
      </w:r>
      <w:r w:rsidRPr="00412A5F">
        <w:rPr>
          <w:rFonts w:ascii="Times New Roman" w:hAnsi="Times New Roman" w:cs="Times New Roman"/>
          <w:b/>
          <w:bCs/>
          <w:sz w:val="24"/>
          <w:szCs w:val="24"/>
        </w:rPr>
        <w:t>Bogdănici CG</w:t>
      </w:r>
      <w:r w:rsidRPr="00A375E0">
        <w:rPr>
          <w:rFonts w:ascii="Times New Roman" w:hAnsi="Times New Roman" w:cs="Times New Roman"/>
          <w:sz w:val="24"/>
          <w:szCs w:val="24"/>
        </w:rPr>
        <w:t xml:space="preserve">, Bogdănici CM. Management </w:t>
      </w:r>
      <w:proofErr w:type="spellStart"/>
      <w:r w:rsidRPr="00A375E0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A375E0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375E0">
        <w:rPr>
          <w:rFonts w:ascii="Times New Roman" w:hAnsi="Times New Roman" w:cs="Times New Roman"/>
          <w:sz w:val="24"/>
          <w:szCs w:val="24"/>
        </w:rPr>
        <w:t>Dry</w:t>
      </w:r>
      <w:proofErr w:type="spellEnd"/>
      <w:r w:rsidRPr="00A37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5E0">
        <w:rPr>
          <w:rFonts w:ascii="Times New Roman" w:hAnsi="Times New Roman" w:cs="Times New Roman"/>
          <w:sz w:val="24"/>
          <w:szCs w:val="24"/>
        </w:rPr>
        <w:t>Eye</w:t>
      </w:r>
      <w:proofErr w:type="spellEnd"/>
      <w:r w:rsidRPr="00A37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5E0">
        <w:rPr>
          <w:rFonts w:ascii="Times New Roman" w:hAnsi="Times New Roman" w:cs="Times New Roman"/>
          <w:sz w:val="24"/>
          <w:szCs w:val="24"/>
        </w:rPr>
        <w:t>Syndrome</w:t>
      </w:r>
      <w:proofErr w:type="spellEnd"/>
      <w:r w:rsidRPr="00A375E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75E0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A37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5E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37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5E0">
        <w:rPr>
          <w:rFonts w:ascii="Times New Roman" w:hAnsi="Times New Roman" w:cs="Times New Roman"/>
          <w:sz w:val="24"/>
          <w:szCs w:val="24"/>
        </w:rPr>
        <w:t>Obesity</w:t>
      </w:r>
      <w:proofErr w:type="spellEnd"/>
      <w:r w:rsidRPr="00A375E0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A375E0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A375E0">
        <w:rPr>
          <w:rFonts w:ascii="Times New Roman" w:hAnsi="Times New Roman" w:cs="Times New Roman"/>
          <w:sz w:val="24"/>
          <w:szCs w:val="24"/>
        </w:rPr>
        <w:t xml:space="preserve"> Review. Life (Basel). 2025;15(7):1102. </w:t>
      </w:r>
      <w:hyperlink r:id="rId14" w:history="1">
        <w:r w:rsidRPr="00225E6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https://doi.org/10.3390/life15071102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2A5F">
        <w:rPr>
          <w:rFonts w:ascii="Times New Roman" w:hAnsi="Times New Roman" w:cs="Times New Roman"/>
          <w:b/>
          <w:bCs/>
          <w:sz w:val="24"/>
          <w:szCs w:val="24"/>
        </w:rPr>
        <w:t>Q1, IF=3,4</w:t>
      </w:r>
      <w:r w:rsidR="00412A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49B6E7F" w14:textId="3F241C90" w:rsidR="00A375E0" w:rsidRPr="003F168C" w:rsidRDefault="00412A5F" w:rsidP="00412A5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A375E0" w:rsidRPr="00412A5F">
          <w:rPr>
            <w:rStyle w:val="Hyperlink"/>
            <w:rFonts w:ascii="Times New Roman" w:hAnsi="Times New Roman" w:cs="Times New Roman"/>
            <w:sz w:val="24"/>
            <w:szCs w:val="24"/>
          </w:rPr>
          <w:t>Dosar electronic</w:t>
        </w:r>
      </w:hyperlink>
    </w:p>
    <w:p w14:paraId="64B7F2DD" w14:textId="1B5246EA" w:rsidR="003F168C" w:rsidRPr="003F168C" w:rsidRDefault="003F168C" w:rsidP="00412A5F">
      <w:pPr>
        <w:jc w:val="both"/>
        <w:rPr>
          <w:rFonts w:ascii="Times New Roman" w:hAnsi="Times New Roman" w:cs="Times New Roman"/>
          <w:sz w:val="24"/>
          <w:szCs w:val="24"/>
        </w:rPr>
      </w:pPr>
      <w:r w:rsidRPr="003F168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3F168C" w:rsidRPr="003F168C" w:rsidSect="000E0A2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1BE1E" w14:textId="77777777" w:rsidR="005A2C00" w:rsidRDefault="005A2C00" w:rsidP="003F168C">
      <w:pPr>
        <w:spacing w:after="0" w:line="240" w:lineRule="auto"/>
      </w:pPr>
      <w:r>
        <w:separator/>
      </w:r>
    </w:p>
  </w:endnote>
  <w:endnote w:type="continuationSeparator" w:id="0">
    <w:p w14:paraId="7AFD5BDC" w14:textId="77777777" w:rsidR="005A2C00" w:rsidRDefault="005A2C00" w:rsidP="003F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7694" w14:textId="77777777" w:rsidR="005A2C00" w:rsidRDefault="005A2C00" w:rsidP="003F168C">
      <w:pPr>
        <w:spacing w:after="0" w:line="240" w:lineRule="auto"/>
      </w:pPr>
      <w:r>
        <w:separator/>
      </w:r>
    </w:p>
  </w:footnote>
  <w:footnote w:type="continuationSeparator" w:id="0">
    <w:p w14:paraId="4C378269" w14:textId="77777777" w:rsidR="005A2C00" w:rsidRDefault="005A2C00" w:rsidP="003F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52AAD"/>
    <w:multiLevelType w:val="hybridMultilevel"/>
    <w:tmpl w:val="39500D1E"/>
    <w:lvl w:ilvl="0" w:tplc="227E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8C"/>
    <w:rsid w:val="000E0A26"/>
    <w:rsid w:val="00195C60"/>
    <w:rsid w:val="003F168C"/>
    <w:rsid w:val="00412A5F"/>
    <w:rsid w:val="005A2C00"/>
    <w:rsid w:val="00A375E0"/>
    <w:rsid w:val="00C922A1"/>
    <w:rsid w:val="00EB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7714"/>
  <w15:chartTrackingRefBased/>
  <w15:docId w15:val="{70631047-0EA5-4436-8A68-71EF50B7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68C"/>
  </w:style>
  <w:style w:type="paragraph" w:styleId="Footer">
    <w:name w:val="footer"/>
    <w:basedOn w:val="Normal"/>
    <w:link w:val="FooterChar"/>
    <w:uiPriority w:val="99"/>
    <w:unhideWhenUsed/>
    <w:rsid w:val="003F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68C"/>
  </w:style>
  <w:style w:type="character" w:styleId="Hyperlink">
    <w:name w:val="Hyperlink"/>
    <w:basedOn w:val="DefaultParagraphFont"/>
    <w:uiPriority w:val="99"/>
    <w:unhideWhenUsed/>
    <w:rsid w:val="003F16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6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1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nu17233798" TargetMode="External"/><Relationship Id="rId13" Type="http://schemas.openxmlformats.org/officeDocument/2006/relationships/hyperlink" Target="e.%20Articole/VISION%20AND%20LIFE%20QUALITY%20A%20COMPARATIVE%20STUDY%20ON%20STUDENTS%20FROM%20MEDICAL%20UNIVERSITIE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i.org/10.22551/MSJ.2024.04.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e.%20Articole/Alterations%20in%20the%20Crystallization%20Pattern%20of%20Tear%20Fluid%20Induce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e.%20Articole/Management%20Strategies%20for%20Dry%20Eye%20Syndrome%20in%20Patients%20with%20obesity.pdf" TargetMode="External"/><Relationship Id="rId10" Type="http://schemas.openxmlformats.org/officeDocument/2006/relationships/hyperlink" Target="https://doi.org/10.3390/life16020210" TargetMode="External"/><Relationship Id="rId4" Type="http://schemas.openxmlformats.org/officeDocument/2006/relationships/settings" Target="settings.xml"/><Relationship Id="rId9" Type="http://schemas.openxmlformats.org/officeDocument/2006/relationships/hyperlink" Target="e.%20Articole/Associations%20Between%20Nutritional%20Factors,%20Obesity%20and%20Ocular%20Diseases%20A%20Narrative%20Literature%20Review.pdf" TargetMode="External"/><Relationship Id="rId14" Type="http://schemas.openxmlformats.org/officeDocument/2006/relationships/hyperlink" Target="https://doi.org/10.3390/life15071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E6E68F2-8454-44EC-A050-DF0A30E7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Constantin Donica</dc:creator>
  <cp:keywords/>
  <dc:description/>
  <cp:lastModifiedBy>Vlad Constantin Donica</cp:lastModifiedBy>
  <cp:revision>2</cp:revision>
  <dcterms:created xsi:type="dcterms:W3CDTF">2026-05-27T11:07:00Z</dcterms:created>
  <dcterms:modified xsi:type="dcterms:W3CDTF">2026-05-27T11:27:00Z</dcterms:modified>
</cp:coreProperties>
</file>