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48" w:line="259" w:lineRule="auto"/>
        <w:ind w:left="0" w:right="59" w:firstLine="0"/>
        <w:jc w:val="center"/>
      </w:pPr>
      <w:r>
        <w:rPr>
          <w:b/>
          <w:sz w:val="32"/>
        </w:rPr>
        <w:t xml:space="preserve"> Lista completă de lucrări din toată activitatea didactică</w:t>
      </w:r>
      <w:r>
        <w:rPr>
          <w:b/>
        </w:rPr>
        <w:t xml:space="preserve"> </w:t>
      </w:r>
    </w:p>
    <w:p>
      <w:pPr>
        <w:spacing w:after="220" w:line="259" w:lineRule="auto"/>
        <w:ind w:left="0" w:firstLine="0"/>
        <w:jc w:val="left"/>
        <w:rPr>
          <w:b/>
        </w:rPr>
      </w:pPr>
      <w:r>
        <w:rPr>
          <w:b/>
        </w:rPr>
        <w:t xml:space="preserve"> </w:t>
      </w:r>
    </w:p>
    <w:p>
      <w:pPr>
        <w:pStyle w:val="7"/>
        <w:numPr>
          <w:ilvl w:val="0"/>
          <w:numId w:val="1"/>
        </w:numPr>
        <w:spacing w:after="220" w:line="259" w:lineRule="auto"/>
        <w:jc w:val="left"/>
        <w:rPr>
          <w:b/>
          <w:bCs/>
        </w:rPr>
      </w:pPr>
      <w:r>
        <w:rPr>
          <w:b/>
          <w:bCs/>
        </w:rPr>
        <w:t>ARTICOLE REPREZENTATIVE</w:t>
      </w:r>
    </w:p>
    <w:p>
      <w:pPr>
        <w:pStyle w:val="7"/>
        <w:spacing w:after="220" w:line="259" w:lineRule="auto"/>
        <w:ind w:firstLine="0"/>
        <w:jc w:val="left"/>
        <w:rPr>
          <w:b/>
          <w:bCs/>
        </w:rPr>
      </w:pPr>
    </w:p>
    <w:p>
      <w:pPr>
        <w:pStyle w:val="7"/>
        <w:numPr>
          <w:ilvl w:val="0"/>
          <w:numId w:val="2"/>
        </w:numPr>
        <w:spacing w:before="100" w:beforeAutospacing="1" w:after="160" w:line="256" w:lineRule="auto"/>
        <w:rPr>
          <w:rFonts w:eastAsia="Calibri"/>
        </w:rPr>
      </w:pPr>
      <w:r>
        <w:rPr>
          <w:rFonts w:eastAsia="Calibri"/>
        </w:rPr>
        <w:t xml:space="preserve">Maghiari AL, Coricovac D, Pinzaru IA, Macașoi IG, Marcovici I, Simu S, Navolan D, Dehelean C. High Concentrations of Aspartame Induce Pro-Angiogenic Effects in Ovo and Cytotoxic Effects in HT-29 Human Colorectal Carcinoma Cells. Nutrients. 2020; 12(12):3600. https://doi.org/10.3390/nu12123600, FI= 5,719 </w:t>
      </w:r>
      <w:r>
        <w:fldChar w:fldCharType="begin"/>
      </w:r>
      <w:r>
        <w:instrText xml:space="preserve"> HYPERLINK "https://www.mdpi.com/899996" </w:instrText>
      </w:r>
      <w:r>
        <w:fldChar w:fldCharType="separate"/>
      </w:r>
      <w:r>
        <w:rPr>
          <w:rStyle w:val="8"/>
          <w:rFonts w:ascii="Arial" w:hAnsi="Arial" w:eastAsia="Calibri" w:cs="Arial"/>
        </w:rPr>
        <w:t>https://www.mdpi.com/899996</w:t>
      </w:r>
      <w:r>
        <w:rPr>
          <w:rStyle w:val="8"/>
          <w:rFonts w:ascii="Arial" w:hAnsi="Arial" w:eastAsia="Calibri" w:cs="Arial"/>
        </w:rPr>
        <w:fldChar w:fldCharType="end"/>
      </w:r>
      <w:r>
        <w:rPr>
          <w:rFonts w:eastAsia="Calibri"/>
        </w:rPr>
        <w:t xml:space="preserve">  </w:t>
      </w:r>
    </w:p>
    <w:p>
      <w:pPr>
        <w:pStyle w:val="7"/>
        <w:numPr>
          <w:ilvl w:val="0"/>
          <w:numId w:val="2"/>
        </w:numPr>
        <w:rPr>
          <w:rFonts w:eastAsia="Calibri"/>
        </w:rPr>
      </w:pPr>
      <w:r>
        <w:rPr>
          <w:rFonts w:eastAsia="Calibri"/>
        </w:rPr>
        <w:t xml:space="preserve">Gherman A, Levai CM, Hațegan OA, Popoiu CM, Stoicescu ER, Maghiari AL., Telemedicine-Supported Intervention Versus Standard Care for Managing Cardiovascular Risk Factors in a Socially Deprived Urban Population: A Prospective Study., Healthcare. 2025; 13(17):2202. https://doi.org/10.3390/healthcare13172202 , FI=2,7 </w:t>
      </w:r>
      <w:r>
        <w:fldChar w:fldCharType="begin"/>
      </w:r>
      <w:r>
        <w:instrText xml:space="preserve"> HYPERLINK "https://www.mdpi.com/3481904" </w:instrText>
      </w:r>
      <w:r>
        <w:fldChar w:fldCharType="separate"/>
      </w:r>
      <w:r>
        <w:rPr>
          <w:rStyle w:val="8"/>
          <w:rFonts w:ascii="Arial" w:hAnsi="Arial" w:eastAsia="Calibri" w:cs="Arial"/>
        </w:rPr>
        <w:t>https://www.mdpi.com/3481904</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Mederle AL, Dima M, Stoicescu ER, Căpăstraru BF, Levai CM, Hațegan OA, Maghiari AL., Impact of Gut Microbiome Interventions on Glucose and Lipid Metabolism in Metabolic, Diseases: A Systematic Review and Meta-Analysis. Life. 2024; 14(11):1485. https://doi.org/10.3390/life14111485 , FI=3,4 </w:t>
      </w:r>
      <w:r>
        <w:fldChar w:fldCharType="begin"/>
      </w:r>
      <w:r>
        <w:instrText xml:space="preserve"> HYPERLINK "https://www.mdpi.com/3042454" </w:instrText>
      </w:r>
      <w:r>
        <w:fldChar w:fldCharType="separate"/>
      </w:r>
      <w:r>
        <w:rPr>
          <w:rStyle w:val="8"/>
          <w:rFonts w:ascii="Arial" w:hAnsi="Arial" w:eastAsia="Calibri" w:cs="Arial"/>
        </w:rPr>
        <w:t>https://www.mdpi.com/3042454</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Ghenciu LA, Faur AC, Bolintineanu SL, Salavat MC, Maghiari AL., Recent Advances in Diagnosis and Treatment Approaches in Fungal Keratitis: A Narrative Review., Microorganisms. 2024; 12(1):161. https://doi.org/10.3390/microorganisms12010161 , FI= 4,2 </w:t>
      </w:r>
      <w:r>
        <w:fldChar w:fldCharType="begin"/>
      </w:r>
      <w:r>
        <w:instrText xml:space="preserve"> HYPERLINK "https://www.mdpi.com/2637120" </w:instrText>
      </w:r>
      <w:r>
        <w:fldChar w:fldCharType="separate"/>
      </w:r>
      <w:r>
        <w:rPr>
          <w:rStyle w:val="8"/>
          <w:rFonts w:ascii="Arial" w:hAnsi="Arial" w:eastAsia="Calibri" w:cs="Arial"/>
        </w:rPr>
        <w:t>https://www.mdpi.com/2637120</w:t>
      </w:r>
      <w:r>
        <w:rPr>
          <w:rStyle w:val="8"/>
          <w:rFonts w:ascii="Arial" w:hAnsi="Arial" w:eastAsia="Calibri" w:cs="Arial"/>
        </w:rPr>
        <w:fldChar w:fldCharType="end"/>
      </w:r>
      <w:r>
        <w:rPr>
          <w:rFonts w:eastAsia="Calibri"/>
        </w:rPr>
        <w:t xml:space="preserve">  </w:t>
      </w:r>
      <w:bookmarkStart w:id="0" w:name="_GoBack"/>
      <w:bookmarkEnd w:id="0"/>
    </w:p>
    <w:p>
      <w:pPr>
        <w:pStyle w:val="7"/>
        <w:numPr>
          <w:ilvl w:val="0"/>
          <w:numId w:val="2"/>
        </w:numPr>
        <w:spacing w:before="100" w:beforeAutospacing="1" w:after="160" w:line="256" w:lineRule="auto"/>
        <w:rPr>
          <w:rFonts w:eastAsia="Calibri"/>
        </w:rPr>
      </w:pPr>
      <w:r>
        <w:rPr>
          <w:rFonts w:eastAsia="Calibri"/>
        </w:rPr>
        <w:t xml:space="preserve">Ciolac, L., Craina, M. L., Enatescu, V. R., Tudor, A., Bernad, E. S., Nitu, R., Hogea, L., Boscu, L., Bernad, B.-C., Timircan, M. O., Ciolac, V., Nediglea, C.-O., Maghiari, A. L., The Impact of the COVID-19 Pandemic on Depressive Disorder with Postpartum Onset: A Cross-Sectional Study. , Healthcare. 2023; 11(21):2857. https://doi.org/10.3390/healthcare11212857 , FI=2,4 </w:t>
      </w:r>
      <w:r>
        <w:fldChar w:fldCharType="begin"/>
      </w:r>
      <w:r>
        <w:instrText xml:space="preserve"> HYPERLINK "https://www.mdpi.com/2540810" </w:instrText>
      </w:r>
      <w:r>
        <w:fldChar w:fldCharType="separate"/>
      </w:r>
      <w:r>
        <w:rPr>
          <w:rStyle w:val="8"/>
          <w:rFonts w:ascii="Arial" w:hAnsi="Arial" w:eastAsia="Calibri" w:cs="Arial"/>
        </w:rPr>
        <w:t>https://www.mdpi.com/2540810</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Marta, C.-I., Maghiari, A. L., Bernad, E., Stelea, L., Bernad, B., Boscu, L., Neamtu, R., Gluhovschi, A., Diaconu, M., Dumitru, C., Sorop, B., Babes, K, Autor correspondent, NT-proBNP-Possible Prognostic Marker in Pregnant Patients with Associated Cardiovascular Risk Factors and SARS-CoV-2 Infection., Diagnostics. 2023; 13(19):3032. https://doi.org/10.3390/diagnostics13193032 , Q2, FI= 3 </w:t>
      </w:r>
      <w:r>
        <w:fldChar w:fldCharType="begin"/>
      </w:r>
      <w:r>
        <w:instrText xml:space="preserve"> HYPERLINK "https://www.mdpi.com/2492732" </w:instrText>
      </w:r>
      <w:r>
        <w:fldChar w:fldCharType="separate"/>
      </w:r>
      <w:r>
        <w:rPr>
          <w:rStyle w:val="8"/>
          <w:rFonts w:ascii="Arial" w:hAnsi="Arial" w:eastAsia="Calibri" w:cs="Arial"/>
        </w:rPr>
        <w:t>https://www.mdpi.com/2492732</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Abu-Awwad, S.-A., Craina, M., Boscu, L., Bernad, E., Ciordas, P. D., Marian, C., Iurciuc, M., Abu-Awwad, A., Iurciuc, S., Bernad, B., Anastasiu Popov, D. M., Maghiari, A. L., Lipid Profile Variations in Pregnancies with and without Cardiovascular Risk: Consequences for Both Mother and Newborn., Children. 2023; 10(9):1521. https://doi.org/10.3390/children10091521 , FI= 2 </w:t>
      </w:r>
      <w:r>
        <w:fldChar w:fldCharType="begin"/>
      </w:r>
      <w:r>
        <w:instrText xml:space="preserve"> HYPERLINK "https://www.mdpi.com/2470580" </w:instrText>
      </w:r>
      <w:r>
        <w:fldChar w:fldCharType="separate"/>
      </w:r>
      <w:r>
        <w:rPr>
          <w:rStyle w:val="8"/>
          <w:rFonts w:ascii="Arial" w:hAnsi="Arial" w:eastAsia="Calibri" w:cs="Arial"/>
        </w:rPr>
        <w:t>https://www.mdpi.com/2470580</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Abu-Awwad, S.-A., Craina, M., Boscu, L., Bernad, E., Ciordas, P. D., Marian, C., Iurciuc, M., Abu-Awwad, A., Iurciuc, S., Bernad, B., Popov, D. M. A., Maghiari, A. L., Hypertensive Disorders of Pregnancy: Assessing the Significance of Lp(a) and ApoB Concentrations in a Romanian Cohort. Journal of Personalized Medicine. 2023; 13(9):1416. </w:t>
      </w:r>
      <w:r>
        <w:fldChar w:fldCharType="begin"/>
      </w:r>
      <w:r>
        <w:instrText xml:space="preserve"> HYPERLINK "https://doi.org/10.3390/jpm13091416" </w:instrText>
      </w:r>
      <w:r>
        <w:fldChar w:fldCharType="separate"/>
      </w:r>
      <w:r>
        <w:rPr>
          <w:rStyle w:val="8"/>
          <w:rFonts w:ascii="Arial" w:hAnsi="Arial" w:eastAsia="Calibri" w:cs="Arial"/>
        </w:rPr>
        <w:t>https://doi.org/10.3390/jpm13091416</w:t>
      </w:r>
      <w:r>
        <w:rPr>
          <w:rStyle w:val="8"/>
          <w:rFonts w:ascii="Arial" w:hAnsi="Arial" w:eastAsia="Calibri" w:cs="Arial"/>
        </w:rPr>
        <w:fldChar w:fldCharType="end"/>
      </w:r>
      <w:r>
        <w:rPr>
          <w:rFonts w:eastAsia="Calibri"/>
        </w:rPr>
        <w:t xml:space="preserve">  </w:t>
      </w:r>
      <w:r>
        <w:fldChar w:fldCharType="begin"/>
      </w:r>
      <w:r>
        <w:instrText xml:space="preserve"> HYPERLINK "https://www.mdpi.com/2488784" </w:instrText>
      </w:r>
      <w:r>
        <w:fldChar w:fldCharType="separate"/>
      </w:r>
      <w:r>
        <w:rPr>
          <w:rStyle w:val="8"/>
          <w:rFonts w:ascii="Arial" w:hAnsi="Arial" w:eastAsia="Calibri" w:cs="Arial"/>
        </w:rPr>
        <w:t>https://www.mdpi.com/2488784</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Abu-Awwad, S.-A., Craina, M., Gluhovschi, A., Boscu, L., Bernad, E., Iurciuc, M., Abu-Awwad, A., Iurciuc, S., Tudoran, C., Bernad, R., &amp; Maghiari, A. L., Comparative Analysis of Neonatal Effects in Pregnant Women with Cardiovascular Risk versus Low-Risk Pregnant Women., Journal of Clinical Medicine. 2023; 12(12):4082. https://doi.org/10.3390/jcm12124082 , FI=3   </w:t>
      </w:r>
    </w:p>
    <w:p>
      <w:pPr>
        <w:pStyle w:val="7"/>
        <w:spacing w:before="100" w:beforeAutospacing="1" w:after="160" w:line="256" w:lineRule="auto"/>
        <w:ind w:firstLine="0"/>
        <w:rPr>
          <w:rFonts w:eastAsia="Calibri"/>
        </w:rPr>
      </w:pPr>
      <w:r>
        <w:fldChar w:fldCharType="begin"/>
      </w:r>
      <w:r>
        <w:instrText xml:space="preserve"> HYPERLINK "https://www.mdpi.com/2344812" </w:instrText>
      </w:r>
      <w:r>
        <w:fldChar w:fldCharType="separate"/>
      </w:r>
      <w:r>
        <w:rPr>
          <w:rStyle w:val="8"/>
          <w:rFonts w:ascii="Arial" w:hAnsi="Arial" w:eastAsia="Calibri" w:cs="Arial"/>
        </w:rPr>
        <w:t>https://www.mdpi.com/2344812</w:t>
      </w:r>
      <w:r>
        <w:rPr>
          <w:rStyle w:val="8"/>
          <w:rFonts w:ascii="Arial" w:hAnsi="Arial" w:eastAsia="Calibri" w:cs="Arial"/>
        </w:rPr>
        <w:fldChar w:fldCharType="end"/>
      </w:r>
      <w:r>
        <w:rPr>
          <w:rFonts w:eastAsia="Calibri"/>
        </w:rPr>
        <w:t xml:space="preserve">  </w:t>
      </w:r>
    </w:p>
    <w:p>
      <w:pPr>
        <w:pStyle w:val="7"/>
        <w:numPr>
          <w:ilvl w:val="0"/>
          <w:numId w:val="2"/>
        </w:numPr>
        <w:spacing w:before="100" w:beforeAutospacing="1" w:after="160" w:line="256" w:lineRule="auto"/>
        <w:rPr>
          <w:rFonts w:eastAsia="Calibri"/>
        </w:rPr>
      </w:pPr>
      <w:r>
        <w:rPr>
          <w:rFonts w:eastAsia="Calibri"/>
        </w:rPr>
        <w:t xml:space="preserve">Abu-Awwad, S.-A., Craina, M., Gluhovschi, A., Ciordas, P. D., Marian, C., Boscu, L., Bernad, E., Iurciuc, M., Abu-Awwad, A., Iurciuc, S., Maghiari, A. L. Linking Pregnancy and Long-Term Health: The Impact of Cardiovascular Risk on Telomere Shortening in Pregnant Women. Medicina. 2023; 59(6):1012. https://doi.org/10.3390/medicina59061012 , FI=2,4, </w:t>
      </w:r>
      <w:r>
        <w:fldChar w:fldCharType="begin"/>
      </w:r>
      <w:r>
        <w:instrText xml:space="preserve"> HYPERLINK "https://www.mdpi.com/2309178" </w:instrText>
      </w:r>
      <w:r>
        <w:fldChar w:fldCharType="separate"/>
      </w:r>
      <w:r>
        <w:rPr>
          <w:rStyle w:val="8"/>
          <w:rFonts w:ascii="Arial" w:hAnsi="Arial" w:eastAsia="Calibri" w:cs="Arial"/>
        </w:rPr>
        <w:t>https://www.mdpi.com/2309178</w:t>
      </w:r>
      <w:r>
        <w:rPr>
          <w:rStyle w:val="8"/>
          <w:rFonts w:ascii="Arial" w:hAnsi="Arial" w:eastAsia="Calibri" w:cs="Arial"/>
        </w:rPr>
        <w:fldChar w:fldCharType="end"/>
      </w:r>
      <w:r>
        <w:rPr>
          <w:rFonts w:eastAsia="Calibri"/>
        </w:rPr>
        <w:t xml:space="preserve">  </w:t>
      </w:r>
    </w:p>
    <w:p>
      <w:pPr>
        <w:pStyle w:val="7"/>
        <w:spacing w:after="220" w:line="259" w:lineRule="auto"/>
        <w:ind w:firstLine="0"/>
        <w:jc w:val="left"/>
      </w:pPr>
    </w:p>
    <w:p>
      <w:pPr>
        <w:pStyle w:val="7"/>
        <w:ind w:firstLine="0"/>
        <w:jc w:val="left"/>
      </w:pPr>
    </w:p>
    <w:p>
      <w:pPr>
        <w:pStyle w:val="7"/>
        <w:numPr>
          <w:ilvl w:val="0"/>
          <w:numId w:val="1"/>
        </w:numPr>
        <w:jc w:val="left"/>
      </w:pPr>
      <w:r>
        <w:rPr>
          <w:b/>
        </w:rPr>
        <w:t xml:space="preserve">TEZA DE DOCTORAT </w:t>
      </w:r>
    </w:p>
    <w:p>
      <w:pPr>
        <w:spacing w:after="19" w:line="259" w:lineRule="auto"/>
        <w:ind w:left="0" w:firstLine="0"/>
        <w:jc w:val="left"/>
      </w:pPr>
      <w:r>
        <w:rPr>
          <w:b/>
        </w:rPr>
        <w:t xml:space="preserve"> </w:t>
      </w:r>
      <w:r>
        <w:rPr>
          <w:i/>
        </w:rPr>
        <w:t>Titlul tezei</w:t>
      </w:r>
      <w:r>
        <w:t xml:space="preserve">: ”Considerații structurale și anatomo-topografice asupra traheei” </w:t>
      </w:r>
    </w:p>
    <w:p>
      <w:pPr>
        <w:spacing w:after="9"/>
        <w:ind w:left="-15" w:right="50" w:firstLine="0"/>
      </w:pPr>
      <w:r>
        <w:rPr>
          <w:i/>
        </w:rPr>
        <w:t>Coordonator Științific</w:t>
      </w:r>
      <w:r>
        <w:t xml:space="preserve">: Prof.Univ.Dr. med.  Virgiliu Niculescu </w:t>
      </w:r>
    </w:p>
    <w:p>
      <w:pPr>
        <w:spacing w:after="9"/>
        <w:ind w:left="-15" w:right="50" w:firstLine="0"/>
      </w:pPr>
      <w:r>
        <w:t xml:space="preserve">Universitatea de Medicină și Farmacie ”Victor Babeș” Timișoara, Seria H, Nr. 004831 </w:t>
      </w:r>
    </w:p>
    <w:p>
      <w:pPr>
        <w:spacing w:after="220" w:line="259" w:lineRule="auto"/>
        <w:ind w:left="0" w:firstLine="0"/>
        <w:jc w:val="left"/>
      </w:pPr>
      <w:r>
        <w:rPr>
          <w:b/>
        </w:rPr>
        <w:t xml:space="preserve"> </w:t>
      </w:r>
    </w:p>
    <w:p>
      <w:pPr>
        <w:pStyle w:val="2"/>
        <w:numPr>
          <w:ilvl w:val="0"/>
          <w:numId w:val="3"/>
        </w:numPr>
        <w:spacing w:after="0"/>
      </w:pPr>
      <w:r>
        <w:t xml:space="preserve">BREVETE, INVENȚII, PANTENTE </w:t>
      </w:r>
    </w:p>
    <w:p>
      <w:pPr>
        <w:spacing w:after="0" w:line="259" w:lineRule="auto"/>
        <w:ind w:left="1080" w:firstLine="0"/>
        <w:jc w:val="left"/>
      </w:pPr>
      <w:r>
        <w:rPr>
          <w:b/>
        </w:rPr>
        <w:t xml:space="preserve"> </w:t>
      </w:r>
    </w:p>
    <w:p>
      <w:pPr>
        <w:spacing w:after="6"/>
        <w:ind w:left="720" w:right="50" w:hanging="360"/>
      </w:pPr>
      <w:r>
        <w:t xml:space="preserve">1. Jianu IC, Jianu AM, </w:t>
      </w:r>
      <w:r>
        <w:fldChar w:fldCharType="begin"/>
      </w:r>
      <w:r>
        <w:instrText xml:space="preserve"> HYPERLINK "https://www.webofscience.com/wos/diidw/general-summary?queryJson=%5B%7B%22rowBoolean%22:null,%22rowField%22:%22AU%22,%22rowText%22:%22STANA%20L%20G%22%7D%5D&amp;eventMode=oneClickSearch" \h </w:instrText>
      </w:r>
      <w:r>
        <w:fldChar w:fldCharType="separate"/>
      </w:r>
      <w:r>
        <w:t>Stana LG</w:t>
      </w:r>
      <w:r>
        <w:fldChar w:fldCharType="end"/>
      </w:r>
      <w:r>
        <w:fldChar w:fldCharType="begin"/>
      </w:r>
      <w:r>
        <w:instrText xml:space="preserve"> HYPERLINK "https://www.webofscience.com/wos/diidw/general-summary?queryJson=%5B%7B%22rowBoolean%22:null,%22rowField%22:%22AU%22,%22rowText%22:%22STANA%20L%20G%22%7D%5D&amp;eventMode=oneClickSearch" \h </w:instrText>
      </w:r>
      <w:r>
        <w:fldChar w:fldCharType="separate"/>
      </w:r>
      <w:r>
        <w:t>,</w:t>
      </w:r>
      <w:r>
        <w:fldChar w:fldCharType="end"/>
      </w:r>
      <w:r>
        <w:fldChar w:fldCharType="begin"/>
      </w:r>
      <w:r>
        <w:instrText xml:space="preserve"> HYPERLINK "https://www.webofscience.com/wos/diidw/general-summary?queryJson=%5B%7B%22rowBoolean%22:null,%22rowField%22:%22AU%22,%22rowText%22:%22FOLESCU%20R%22%7D%5D&amp;eventMode=oneClickSearch"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"https://www.webofscience.com/wos/diidw/general-summary?queryJson=%5B%7B%22rowBoolean%22:null,%22rowField%22:%22AU%22,%22rowText%22:%22FOLESCU%20R%22%7D%5D&amp;eventMode=oneClickSearch" \h </w:instrText>
      </w:r>
      <w:r>
        <w:fldChar w:fldCharType="separate"/>
      </w:r>
      <w:r>
        <w:t>Folescu R</w:t>
      </w:r>
      <w:r>
        <w:fldChar w:fldCharType="end"/>
      </w:r>
      <w:r>
        <w:fldChar w:fldCharType="begin"/>
      </w:r>
      <w:r>
        <w:instrText xml:space="preserve"> HYPERLINK "https://www.webofscience.com/wos/diidw/general-summary?queryJson=%5B%7B%22rowBoolean%22:null,%22rowField%22:%22AU%22,%22rowText%22:%22FOLESCU%20R%22%7D%5D&amp;eventMode=oneClickSearch" \h </w:instrText>
      </w:r>
      <w:r>
        <w:fldChar w:fldCharType="separate"/>
      </w:r>
      <w:r>
        <w:t>,</w:t>
      </w:r>
      <w:r>
        <w:fldChar w:fldCharType="end"/>
      </w:r>
      <w:r>
        <w:fldChar w:fldCharType="begin"/>
      </w:r>
      <w:r>
        <w:instrText xml:space="preserve"> HYPERLINK "https://www.webofscience.com/wos/diidw/general-summary?queryJson=%5B%7B%22rowBoolean%22:null,%22rowField%22:%22AU%22,%22rowText%22:%22URSONIU%20S%22%7D%5D&amp;eventMode=oneClickSearch"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"https://www.webofscience.com/wos/diidw/general-summary?queryJson=%5B%7B%22rowBoolean%22:null,%22rowField%22:%22AU%22,%22rowText%22:%22URSONIU%20S%22%7D%5D&amp;eventMode=oneClickSearch" \h </w:instrText>
      </w:r>
      <w:r>
        <w:fldChar w:fldCharType="separate"/>
      </w:r>
      <w:r>
        <w:t>Ursoniu S</w:t>
      </w:r>
      <w:r>
        <w:fldChar w:fldCharType="end"/>
      </w:r>
      <w:r>
        <w:fldChar w:fldCharType="begin"/>
      </w:r>
      <w:r>
        <w:instrText xml:space="preserve"> HYPERLINK "https://www.webofscience.com/wos/diidw/general-summary?queryJson=%5B%7B%22rowBoolean%22:null,%22rowField%22:%22AU%22,%22rowText%22:%22URSONIU%20S%22%7D%5D&amp;eventMode=oneClickSearch" \h </w:instrText>
      </w:r>
      <w:r>
        <w:fldChar w:fldCharType="separate"/>
      </w:r>
      <w:r>
        <w:t>,</w:t>
      </w:r>
      <w:r>
        <w:fldChar w:fldCharType="end"/>
      </w:r>
      <w:r>
        <w:fldChar w:fldCharType="begin"/>
      </w:r>
      <w:r>
        <w:instrText xml:space="preserve"> HYPERLINK "https://www.webofscience.com/wos/diidw/general-summary?queryJson=%5B%7B%22rowBoolean%22:null,%22rowField%22:%22AU%22,%22rowText%22:%22SELARU%20M%22%7D%5D&amp;eventMode=oneClickSearch"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"https://www.webofscience.com/wos/diidw/general-summary?queryJson=%5B%7B%22rowBoolean%22:null,%22rowField%22:%22AU%22,%22rowText%22:%22SELARU%20M%22%7D%5D&amp;eventMode=oneClickSearch" \h </w:instrText>
      </w:r>
      <w:r>
        <w:fldChar w:fldCharType="separate"/>
      </w:r>
      <w:r>
        <w:t>Șelaru M</w:t>
      </w:r>
      <w:r>
        <w:fldChar w:fldCharType="end"/>
      </w:r>
      <w:r>
        <w:fldChar w:fldCharType="begin"/>
      </w:r>
      <w:r>
        <w:instrText xml:space="preserve"> HYPERLINK "https://www.webofscience.com/wos/diidw/general-summary?queryJson=%5B%7B%22rowBoolean%22:null,%22rowField%22:%22AU%22,%22rowText%22:%22SELARU%20M%22%7D%5D&amp;eventMode=oneClickSearch" \h </w:instrText>
      </w:r>
      <w:r>
        <w:fldChar w:fldCharType="separate"/>
      </w:r>
      <w:r>
        <w:t>,</w:t>
      </w:r>
      <w:r>
        <w:fldChar w:fldCharType="end"/>
      </w:r>
      <w:r>
        <w:fldChar w:fldCharType="begin"/>
      </w:r>
      <w:r>
        <w:instrText xml:space="preserve"> HYPERLINK "https://www.webofscience.com/wos/diidw/general-summary?queryJson=%5B%7B%22rowBoolean%22:null,%22rowField%22:%22AU%22,%22rowText%22:%22VALCEANU%20A%22%7D%5D&amp;eventMode=oneClickSearch"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"https://www.webofscience.com/wos/diidw/general-summary?queryJson=%5B%7B%22rowBoolean%22:null,%22rowField%22:%22AU%22,%22rowText%22:%22VALCEANU%20A%22%7D%5D&amp;eventMode=oneClickSearch" \h </w:instrText>
      </w:r>
      <w:r>
        <w:fldChar w:fldCharType="separate"/>
      </w:r>
      <w:r>
        <w:t>Valceanu A,</w:t>
      </w:r>
      <w:r>
        <w:fldChar w:fldCharType="end"/>
      </w:r>
      <w:r>
        <w:fldChar w:fldCharType="begin"/>
      </w:r>
      <w:r>
        <w:instrText xml:space="preserve"> HYPERLINK "https://www.webofscience.com/wos/diidw/general-summary?queryJson=%5B%7B%22rowBoolean%22:null,%22rowField%22:%22AU%22,%22rowText%22:%22VALCEANU%20A%22%7D%5D&amp;eventMode=oneClickSearch"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"https://www.webofscience.com/wos/diidw/general-summary?queryJson=%5B%7B%22rowBoolean%22:null,%22rowField%22:%22AU%22,%22rowText%22:%22MISCA%20C%20D%22%7D%5D&amp;eventMode=oneClickSearch" \h </w:instrText>
      </w:r>
      <w:r>
        <w:fldChar w:fldCharType="separate"/>
      </w:r>
      <w:r>
        <w:t xml:space="preserve"> </w:t>
      </w:r>
      <w:r>
        <w:fldChar w:fldCharType="end"/>
      </w:r>
      <w:r>
        <w:fldChar w:fldCharType="begin"/>
      </w:r>
      <w:r>
        <w:instrText xml:space="preserve"> HYPERLINK "https://www.webofscience.com/wos/diidw/general-summary?queryJson=%5B%7B%22rowBoolean%22:null,%22rowField%22:%22AU%22,%22rowText%22:%22MISCA%20C%20D%22%7D%5D&amp;eventMode=oneClickSearch" \h </w:instrText>
      </w:r>
      <w:r>
        <w:fldChar w:fldCharType="separate"/>
      </w:r>
      <w:r>
        <w:t>Misca CD</w:t>
      </w:r>
      <w:r>
        <w:fldChar w:fldCharType="end"/>
      </w:r>
      <w:r>
        <w:fldChar w:fldCharType="begin"/>
      </w:r>
      <w:r>
        <w:instrText xml:space="preserve"> HYPERLINK "https://www.webofscience.com/wos/diidw/general-summary?queryJson=%5B%7B%22rowBoolean%22:null,%22rowField%22:%22AU%22,%22rowText%22:%22MISCA%20C%20D%22%7D%5D&amp;eventMode=oneClickSearch" \h </w:instrText>
      </w:r>
      <w:r>
        <w:fldChar w:fldCharType="separate"/>
      </w:r>
      <w:r>
        <w:t>,</w:t>
      </w:r>
      <w:r>
        <w:fldChar w:fldCharType="end"/>
      </w:r>
      <w:r>
        <w:t xml:space="preserve"> </w:t>
      </w:r>
      <w:r>
        <w:fldChar w:fldCharType="begin"/>
      </w:r>
      <w:r>
        <w:instrText xml:space="preserve"> HYPERLINK "https://www.webofscience.com/wos/diidw/general-summary?queryJson=%5B%7B%22rowBoolean%22:null,%22rowField%22:%22AU%22,%22rowText%22:%22CIUCA%20I%22%7D%5D&amp;eventMode=oneClickSearch" \h </w:instrText>
      </w:r>
      <w:r>
        <w:fldChar w:fldCharType="separate"/>
      </w:r>
      <w:r>
        <w:t>Ciuca I</w:t>
      </w:r>
      <w:r>
        <w:fldChar w:fldCharType="end"/>
      </w:r>
      <w:r>
        <w:fldChar w:fldCharType="begin"/>
      </w:r>
      <w:r>
        <w:instrText xml:space="preserve"> HYPERLINK "https://www.webofscience.com/wos/diidw/general-summary?queryJson=%5B%7B%22rowBoolean%22:null,%22rowField%22:%22AU%22,%22rowText%22:%22CIUCA%20I%22%7D%5D&amp;eventMode=oneClickSearch" \h </w:instrText>
      </w:r>
      <w:r>
        <w:fldChar w:fldCharType="separate"/>
      </w:r>
      <w:r>
        <w:t>,</w:t>
      </w:r>
      <w:r>
        <w:fldChar w:fldCharType="end"/>
      </w:r>
      <w:r>
        <w:t xml:space="preserve"> </w:t>
      </w:r>
      <w:r>
        <w:fldChar w:fldCharType="begin"/>
      </w:r>
      <w:r>
        <w:instrText xml:space="preserve"> HYPERLINK "https://www.webofscience.com/wos/diidw/general-summary?queryJson=%5B%7B%22rowBoolean%22:null,%22rowField%22:%22AU%22,%22rowText%22:%22BUJANCA%20G%22%7D%5D&amp;eventMode=oneClickSearch" \h </w:instrText>
      </w:r>
      <w:r>
        <w:fldChar w:fldCharType="separate"/>
      </w:r>
      <w:r>
        <w:t>Bujanca G</w:t>
      </w:r>
      <w:r>
        <w:fldChar w:fldCharType="end"/>
      </w:r>
      <w:r>
        <w:fldChar w:fldCharType="begin"/>
      </w:r>
      <w:r>
        <w:instrText xml:space="preserve"> HYPERLINK "https://www.webofscience.com/wos/diidw/general-summary?queryJson=%5B%7B%22rowBoolean%22:null,%22rowField%22:%22AU%22,%22rowText%22:%22BUJANCA%20G%22%7D%5D&amp;eventMode=oneClickSearch" \h </w:instrText>
      </w:r>
      <w:r>
        <w:fldChar w:fldCharType="separate"/>
      </w:r>
      <w:r>
        <w:t>,</w:t>
      </w:r>
      <w:r>
        <w:fldChar w:fldCharType="end"/>
      </w:r>
      <w:r>
        <w:t xml:space="preserve"> </w:t>
      </w:r>
      <w:r>
        <w:fldChar w:fldCharType="begin"/>
      </w:r>
      <w:r>
        <w:instrText xml:space="preserve"> HYPERLINK "https://www.webofscience.com/wos/diidw/general-summary?queryJson=%5B%7B%22rowBoolean%22:null,%22rowField%22:%22AU%22,%22rowText%22:%22GRIGORAS%20M%20L%22%7D%5D&amp;eventMode=oneClickSearch" \h </w:instrText>
      </w:r>
      <w:r>
        <w:fldChar w:fldCharType="separate"/>
      </w:r>
      <w:r>
        <w:t>Grigoras ML</w:t>
      </w:r>
      <w:r>
        <w:fldChar w:fldCharType="end"/>
      </w:r>
      <w:r>
        <w:fldChar w:fldCharType="begin"/>
      </w:r>
      <w:r>
        <w:instrText xml:space="preserve"> HYPERLINK "https://www.webofscience.com/wos/diidw/general-summary?queryJson=%5B%7B%22rowBoolean%22:null,%22rowField%22:%22AU%22,%22rowText%22:%22GRIGORAS%20M%20L%22%7D%5D&amp;eventMode=oneClickSearch" \h </w:instrText>
      </w:r>
      <w:r>
        <w:fldChar w:fldCharType="separate"/>
      </w:r>
      <w:r>
        <w:t>,</w:t>
      </w:r>
      <w:r>
        <w:fldChar w:fldCharType="end"/>
      </w:r>
      <w:r>
        <w:t xml:space="preserve"> </w:t>
      </w:r>
      <w:r>
        <w:fldChar w:fldCharType="begin"/>
      </w:r>
      <w:r>
        <w:instrText xml:space="preserve"> HYPERLINK "https://www.webofscience.com/wos/diidw/general-summary?queryJson=%5B%7B%22rowBoolean%22:null,%22rowField%22:%22AU%22,%22rowText%22:%22MAGHIARI%20A%22%7D%5D&amp;eventMode=oneClickSearch" \h </w:instrText>
      </w:r>
      <w:r>
        <w:fldChar w:fldCharType="separate"/>
      </w:r>
      <w:r>
        <w:rPr>
          <w:b/>
        </w:rPr>
        <w:t>Maghiari AL</w:t>
      </w:r>
      <w:r>
        <w:rPr>
          <w:b/>
        </w:rPr>
        <w:fldChar w:fldCharType="end"/>
      </w:r>
      <w:r>
        <w:t xml:space="preserve">, </w:t>
      </w:r>
      <w:r>
        <w:fldChar w:fldCharType="begin"/>
      </w:r>
      <w:r>
        <w:instrText xml:space="preserve"> HYPERLINK "https://www.webofscience.com/wos/diidw/general-summary?queryJson=%5B%7B%22rowBoolean%22:null,%22rowField%22:%22AU%22,%22rowText%22:%22MOISE%20L%22%7D%5D&amp;eventMode=oneClickSearch" \h </w:instrText>
      </w:r>
      <w:r>
        <w:fldChar w:fldCharType="separate"/>
      </w:r>
      <w:r>
        <w:t>Moise L</w:t>
      </w:r>
      <w:r>
        <w:fldChar w:fldCharType="end"/>
      </w:r>
      <w:r>
        <w:fldChar w:fldCharType="begin"/>
      </w:r>
      <w:r>
        <w:instrText xml:space="preserve"> HYPERLINK "https://www.webofscience.com/wos/diidw/general-summary?queryJson=%5B%7B%22rowBoolean%22:null,%22rowField%22:%22AU%22,%22rowText%22:%22MOISE%20L%22%7D%5D&amp;eventMode=oneClickSearch" \h </w:instrText>
      </w:r>
      <w:r>
        <w:fldChar w:fldCharType="separate"/>
      </w:r>
      <w:r>
        <w:t>,</w:t>
      </w:r>
      <w:r>
        <w:fldChar w:fldCharType="end"/>
      </w:r>
      <w:r>
        <w:t xml:space="preserve"> </w:t>
      </w:r>
      <w:r>
        <w:fldChar w:fldCharType="begin"/>
      </w:r>
      <w:r>
        <w:instrText xml:space="preserve"> HYPERLINK "https://www.webofscience.com/wos/diidw/general-summary?queryJson=%5B%7B%22rowBoolean%22:null,%22rowField%22:%22AU%22,%22rowText%22:%22ILIE%20O%20C%22%7D%5D&amp;eventMode=oneClickSearch" \h </w:instrText>
      </w:r>
      <w:r>
        <w:fldChar w:fldCharType="separate"/>
      </w:r>
      <w:r>
        <w:t>Ilie OC,</w:t>
      </w:r>
      <w:r>
        <w:fldChar w:fldCharType="end"/>
      </w:r>
      <w:r>
        <w:t xml:space="preserve"> Homogenous Superficially-Active Non-Ionic-Cationic Structures And Process For Obtaining The Same, Patent Number RO132484-A0/ RO132484-B1, 27 Apr 2018. </w:t>
      </w:r>
    </w:p>
    <w:p>
      <w:pPr>
        <w:pStyle w:val="2"/>
        <w:ind w:left="720" w:firstLine="0"/>
      </w:pPr>
    </w:p>
    <w:p>
      <w:pPr>
        <w:pStyle w:val="2"/>
        <w:numPr>
          <w:ilvl w:val="0"/>
          <w:numId w:val="3"/>
        </w:numPr>
      </w:pPr>
      <w:r>
        <w:t xml:space="preserve">CĂRŢI ŞI CAPITOLE ÎN CĂRŢI publicate în edituri naționale </w:t>
      </w:r>
    </w:p>
    <w:p>
      <w:pPr>
        <w:numPr>
          <w:ilvl w:val="0"/>
          <w:numId w:val="4"/>
        </w:numPr>
        <w:ind w:right="50" w:hanging="360"/>
      </w:pPr>
      <w:r>
        <w:t xml:space="preserve">Bolintineanu S., Vaida M., Suman S., Pop E., Pusztai A., </w:t>
      </w:r>
      <w:r>
        <w:rPr>
          <w:b/>
        </w:rPr>
        <w:t>Maghiari AL</w:t>
      </w:r>
      <w:r>
        <w:t>., Matu C., ”</w:t>
      </w:r>
      <w:r>
        <w:rPr>
          <w:i/>
        </w:rPr>
        <w:t>Anatomia Omului – Volumul II: Anatomia membrelor și a pereților trunchiului”,</w:t>
      </w:r>
      <w:r>
        <w:t xml:space="preserve"> Ed. Victor Babeș, Timișoara, 2021, ISBN 978-606-786-241-6. </w:t>
      </w:r>
    </w:p>
    <w:p>
      <w:pPr>
        <w:numPr>
          <w:ilvl w:val="0"/>
          <w:numId w:val="4"/>
        </w:numPr>
        <w:ind w:right="50" w:hanging="360"/>
      </w:pPr>
      <w:r>
        <w:t xml:space="preserve">Bolintineanu S., Vaida M., Pop E., Pusztai A., Șișu A., Roșu L., Matu C., </w:t>
      </w:r>
      <w:r>
        <w:rPr>
          <w:b/>
        </w:rPr>
        <w:t>Boșcu AL.</w:t>
      </w:r>
      <w:r>
        <w:t>, ”</w:t>
      </w:r>
      <w:r>
        <w:rPr>
          <w:i/>
        </w:rPr>
        <w:t>Anatomia Omului pentru Medicină Dentară – Volumul I</w:t>
      </w:r>
      <w:r>
        <w:t xml:space="preserve">”, Ed.Eurostampa, Timișoara, 2016, ISBN 978-606-32-0275-9.  </w:t>
      </w:r>
    </w:p>
    <w:p>
      <w:pPr>
        <w:numPr>
          <w:ilvl w:val="0"/>
          <w:numId w:val="4"/>
        </w:numPr>
        <w:ind w:right="50" w:hanging="360"/>
      </w:pPr>
      <w:r>
        <w:t xml:space="preserve">Bolintineanu S., Vaida M., Pop E., Pusztai A., Petre I., Matu C., </w:t>
      </w:r>
      <w:r>
        <w:rPr>
          <w:b/>
        </w:rPr>
        <w:t>Boșcu AL</w:t>
      </w:r>
      <w:r>
        <w:t>., ”</w:t>
      </w:r>
      <w:r>
        <w:rPr>
          <w:i/>
        </w:rPr>
        <w:t>Anatomia trunchiului și a membrelor</w:t>
      </w:r>
      <w:r>
        <w:t xml:space="preserve">”, Ed. Eurostampa, Timișoara, 2015, ISBN 978-606-32-0064-9. </w:t>
      </w:r>
    </w:p>
    <w:p>
      <w:pPr>
        <w:spacing w:after="220" w:line="259" w:lineRule="auto"/>
        <w:ind w:left="360" w:firstLine="0"/>
        <w:jc w:val="left"/>
      </w:pPr>
      <w:r>
        <w:rPr>
          <w:b/>
        </w:rPr>
        <w:t xml:space="preserve"> </w:t>
      </w:r>
    </w:p>
    <w:p>
      <w:pPr>
        <w:pStyle w:val="2"/>
        <w:numPr>
          <w:ilvl w:val="0"/>
          <w:numId w:val="3"/>
        </w:numPr>
      </w:pPr>
      <w:r>
        <w:t xml:space="preserve">ARTICOLE PUBLICATE ÎN REVISTE INDEXATE WEB OF SCIENCE (ARTICOLE ISI) </w:t>
      </w:r>
    </w:p>
    <w:p>
      <w:pPr>
        <w:numPr>
          <w:ilvl w:val="0"/>
          <w:numId w:val="5"/>
        </w:numPr>
        <w:ind w:right="50" w:hanging="443"/>
      </w:pPr>
      <w:r>
        <w:rPr>
          <w:b/>
        </w:rPr>
        <w:t>Maghiari AL</w:t>
      </w:r>
      <w:r>
        <w:t xml:space="preserve">, Coricovac D, Pinzaru IA, Macașoi IG, Marcovici I, Simu S, Navolan D, Dehelean C. High Concentrations of Aspartame Induce Pro-Angiogenic Effects in Ovo and Cytotoxic Effects in HT-29 Human Colorectal Carcinoma Cells. Nutrients. 2020; 12(12):3600. https://doi.org/10.3390/nu12123600, FI= 5,719 https://www.mdpi.com/899996  </w:t>
      </w:r>
    </w:p>
    <w:p>
      <w:pPr>
        <w:numPr>
          <w:ilvl w:val="0"/>
          <w:numId w:val="5"/>
        </w:numPr>
        <w:ind w:right="50" w:hanging="443"/>
      </w:pPr>
      <w:r>
        <w:t xml:space="preserve">Gherman A, Levai CM, Haţegan OA, Popoiu CM, Stoicescu ER, </w:t>
      </w:r>
      <w:r>
        <w:rPr>
          <w:b/>
        </w:rPr>
        <w:t>Maghiari AL.</w:t>
      </w:r>
      <w:r>
        <w:t>, Telemedicine</w:t>
      </w:r>
      <w:r>
        <w:rPr>
          <w:rFonts w:hint="default"/>
          <w:lang w:val="ro-RO"/>
        </w:rPr>
        <w:t xml:space="preserve"> </w:t>
      </w:r>
      <w:r>
        <w:t xml:space="preserve">Supported Intervention Versus Standard Care for Managing Cardiovascular Risk Factors in a Socially Deprived Urban Population: A Prospective Study., Healthcare. 2025; 13(17):2202. https://doi.org/10.3390/healthcare13172202, FI=2,7 https://www.mdpi.com/3481904  </w:t>
      </w:r>
    </w:p>
    <w:p>
      <w:pPr>
        <w:numPr>
          <w:ilvl w:val="0"/>
          <w:numId w:val="5"/>
        </w:numPr>
        <w:ind w:right="50" w:hanging="443"/>
      </w:pPr>
      <w:r>
        <w:t xml:space="preserve">Mederle AL, Dima M, Stoicescu ER, Căpăstraru BF, Levai CM, Hațegan OA, </w:t>
      </w:r>
      <w:r>
        <w:rPr>
          <w:b/>
        </w:rPr>
        <w:t>Maghiari AL.</w:t>
      </w:r>
      <w:r>
        <w:t xml:space="preserve">, Impact of Gut Microbiome Interventions on Glucose and Lipid Metabolism in Metabolic, Diseases: A Systematic Review and Meta-Analysis. Life. 2024; 14(11):1485. https://doi.org/10.3390/life14111485 , FI=3,4 https://www.mdpi.com/3042454  </w:t>
      </w:r>
    </w:p>
    <w:p>
      <w:pPr>
        <w:numPr>
          <w:ilvl w:val="0"/>
          <w:numId w:val="5"/>
        </w:numPr>
        <w:ind w:right="50" w:hanging="443"/>
      </w:pPr>
      <w:r>
        <w:t xml:space="preserve">Ghenciu LA, Faur AC, Bolintineanu SL, Salavat MC, </w:t>
      </w:r>
      <w:r>
        <w:rPr>
          <w:b/>
        </w:rPr>
        <w:t>Maghiari AL.</w:t>
      </w:r>
      <w:r>
        <w:t xml:space="preserve">, Recent Advances in Diagnosis and Treatment Approaches in Fungal Keratitis: A Narrative Review., Microorganisms. 2024; 12(1):161. https://doi.org/10.3390/microorganisms12010161 , FI= 4,2 https://www.mdpi.com/2637120  </w:t>
      </w:r>
    </w:p>
    <w:p>
      <w:pPr>
        <w:numPr>
          <w:ilvl w:val="0"/>
          <w:numId w:val="5"/>
        </w:numPr>
        <w:ind w:right="50" w:hanging="443"/>
      </w:pPr>
      <w:r>
        <w:t xml:space="preserve">Ciolac, L., Craina, M. L., Enatescu, V. R., Tudor, A., Bernad, E. S., Nitu, R., Hogea, L., Boscu, L., Bernad, B.-C., Timircan, M. O., Ciolac, V., Nediglea, C.-O., &amp; Maghiari, A. L., The Impact of the COVID-19 Pandemic on Depressive Disorder with Postpartum Onset: A Cross-Sectional Study. , Healthcare. 2023; 11(21):2857. https://doi.org/10.3390/healthcare11212857 , FI=2,4 https://www.mdpi.com/2540810  </w:t>
      </w:r>
    </w:p>
    <w:p>
      <w:pPr>
        <w:numPr>
          <w:ilvl w:val="0"/>
          <w:numId w:val="5"/>
        </w:numPr>
        <w:spacing w:after="6"/>
        <w:ind w:right="50" w:hanging="443"/>
      </w:pPr>
      <w:r>
        <w:t xml:space="preserve">Marta, C.-I., </w:t>
      </w:r>
      <w:r>
        <w:rPr>
          <w:b/>
        </w:rPr>
        <w:t>Maghiari, A. L</w:t>
      </w:r>
      <w:r>
        <w:t xml:space="preserve">., Bernad, E., Stelea, L., Bernad, B., Boscu, L., Neamtu, R., Gluhovschi, A., Diaconu, M., Dumitru, C., Sorop, B., &amp; Babes, K, Autor correspondent, NTproBNP—Possible Prognostic Marker in Pregnant Patients with Associated Cardiovascular Risk Factors and SARS-CoV-2 Infection., Diagnostics. 2023; 13(19):3032. </w:t>
      </w:r>
    </w:p>
    <w:p>
      <w:pPr>
        <w:ind w:left="439" w:right="50" w:firstLine="0"/>
      </w:pPr>
      <w:r>
        <w:t xml:space="preserve">https://doi.org/10.3390/diagnostics13193032 , Q2, FI= 3 https://www.mdpi.com/2492732  </w:t>
      </w:r>
    </w:p>
    <w:p>
      <w:pPr>
        <w:numPr>
          <w:ilvl w:val="0"/>
          <w:numId w:val="5"/>
        </w:numPr>
        <w:ind w:right="50" w:hanging="443"/>
      </w:pPr>
      <w:r>
        <w:t xml:space="preserve">Abu-Awwad, S.-A., Craina, M., Boscu, L., Bernad, E., Ciordas, P. D., Marian, C., Iurciuc, M., Abu-Awwad, A., Iurciuc, S., Bernad, B., Anastasiu Popov, D. M., </w:t>
      </w:r>
      <w:r>
        <w:rPr>
          <w:b/>
        </w:rPr>
        <w:t>Maghiari, A. L.</w:t>
      </w:r>
      <w:r>
        <w:t xml:space="preserve">, Lipid Profile Variations in Pregnancies with and without Cardiovascular Risk: Consequences for Both Mother and Newborn., Children. 2023; 10(9):1521. https://doi.org/10.3390/children10091521 , FI= 2 https://www.mdpi.com/2470580  </w:t>
      </w:r>
    </w:p>
    <w:p>
      <w:pPr>
        <w:numPr>
          <w:ilvl w:val="0"/>
          <w:numId w:val="5"/>
        </w:numPr>
        <w:spacing w:after="7"/>
        <w:ind w:right="50" w:hanging="443"/>
      </w:pPr>
      <w:r>
        <w:t xml:space="preserve">Abu-Awwad, S.-A., Craina, M., Boscu, L., Bernad, E., Ciordas, P. D., Marian, C., Iurciuc, M., Abu-Awwad, A., Iurciuc, S., Bernad, B., Popov, D. M. A., </w:t>
      </w:r>
      <w:r>
        <w:rPr>
          <w:b/>
        </w:rPr>
        <w:t>Maghiari, A. L.</w:t>
      </w:r>
      <w:r>
        <w:t xml:space="preserve">, Hypertensive Disorders of Pregnancy: Assessing the Significance of Lp(a) and ApoB Concentrations in a Romanian Cohort. Journal of Personalized Medicine. 2023; 13(9):1416. </w:t>
      </w:r>
    </w:p>
    <w:p>
      <w:pPr>
        <w:ind w:left="439" w:right="50" w:firstLine="0"/>
      </w:pPr>
      <w:r>
        <w:t xml:space="preserve">https://doi.org/10.3390/jpm13091416 https://www.mdpi.com/2488784  </w:t>
      </w:r>
    </w:p>
    <w:p>
      <w:pPr>
        <w:numPr>
          <w:ilvl w:val="0"/>
          <w:numId w:val="5"/>
        </w:numPr>
        <w:ind w:right="50" w:hanging="443"/>
      </w:pPr>
      <w:r>
        <w:t xml:space="preserve">Abu-Awwad, S.-A., Craina, M., Gluhovschi, A., Boscu, L., Bernad, E., Iurciuc, M., Abu-Awwad, A., Iurciuc, S., Tudoran, C., Bernad, R., </w:t>
      </w:r>
      <w:r>
        <w:rPr>
          <w:b/>
        </w:rPr>
        <w:t>Maghiari, A. L.</w:t>
      </w:r>
      <w:r>
        <w:t xml:space="preserve">, Comparative Analysis of Neonatal Effects in Pregnant Women with Cardiovascular Risk versus Low-Risk Pregnant Women., Journal of Clinical Medicine. 2023; 12(12):4082. https://doi.org/10.3390/jcm12124082 , FI=3 https://www.mdpi.com/2344812  </w:t>
      </w:r>
    </w:p>
    <w:p>
      <w:pPr>
        <w:numPr>
          <w:ilvl w:val="0"/>
          <w:numId w:val="5"/>
        </w:numPr>
        <w:ind w:right="50" w:hanging="443"/>
      </w:pPr>
      <w:r>
        <w:t xml:space="preserve">Abu-Awwad, S.-A., Craina, M., Gluhovschi, A., Ciordas, P. D., Marian, C., Boscu, L., Bernad, E., Iurciuc, M., Abu-Awwad, A., Iurciuc, S., </w:t>
      </w:r>
      <w:r>
        <w:rPr>
          <w:b/>
        </w:rPr>
        <w:t>Maghiari, A. L.</w:t>
      </w:r>
      <w:r>
        <w:t xml:space="preserve"> Linking Pregnancy and Long-Term Health: The Impact of Cardiovascular Risk on Telomere Shortening in Pregnant Women. Medicina. 2023; 59(6):1012. https://doi.org/10.3390/medicina59061012 , FI=2,4 https://www.mdpi.com/2309178  </w:t>
      </w:r>
    </w:p>
    <w:p>
      <w:pPr>
        <w:numPr>
          <w:ilvl w:val="0"/>
          <w:numId w:val="5"/>
        </w:numPr>
        <w:spacing w:after="9"/>
        <w:ind w:right="50" w:hanging="443"/>
      </w:pPr>
      <w:r>
        <w:t>Rusu MC,</w:t>
      </w:r>
      <w:r>
        <w:rPr>
          <w:b/>
        </w:rPr>
        <w:t xml:space="preserve"> Boşcu AL</w:t>
      </w:r>
      <w:r>
        <w:t xml:space="preserve">., Transverse subisthmic course of the innominate artery in an adult: </w:t>
      </w:r>
    </w:p>
    <w:p>
      <w:pPr>
        <w:ind w:left="439" w:right="50" w:firstLine="0"/>
      </w:pPr>
      <w:r>
        <w:t xml:space="preserve">detailed anatomy and additional variation. Folia Morphol (Warsz). 2010 Nov;69(4):261-6. PMID: 21120815. FI= 1,038 </w:t>
      </w:r>
    </w:p>
    <w:p>
      <w:pPr>
        <w:spacing w:after="6"/>
        <w:ind w:left="434" w:right="50"/>
      </w:pPr>
      <w:r>
        <w:t xml:space="preserve">12.Traila A, Abu-Awwad S-A, Marta C-I, Bacanoiu MV, </w:t>
      </w:r>
      <w:r>
        <w:rPr>
          <w:b/>
        </w:rPr>
        <w:t>Maghiari AL</w:t>
      </w:r>
      <w:r>
        <w:t xml:space="preserve">, Abu-Awwad A, Craina ML. Non-Targeted Plasma Lipidomic Profiling in Late Pregnancy and Early Postpartum Stages: An </w:t>
      </w:r>
    </w:p>
    <w:p>
      <w:pPr>
        <w:ind w:left="439" w:right="50" w:firstLine="0"/>
      </w:pPr>
      <w:r>
        <w:t xml:space="preserve">Observational Comparative Study. Metabolites. 2025; 15(12):798. https://doi.org/10.3390/metabo15120798, FI=3,7 </w:t>
      </w:r>
    </w:p>
    <w:p>
      <w:pPr>
        <w:numPr>
          <w:ilvl w:val="0"/>
          <w:numId w:val="6"/>
        </w:numPr>
        <w:ind w:right="50" w:hanging="414"/>
      </w:pPr>
      <w:r>
        <w:t xml:space="preserve">Ciolac L, Nițu D-R, Bernad ES, Gluhovschi A, Popa D-I, Toc T, Tudor A, Maghiari AL, Craina ML. Unveiling the Mental Health of Postpartum Women During and After COVID-19: Analysis of Two Population-Based National Maternity Surveys in Romania (2020–2025). Healthcare. 2025; 13(8):911. https://doi.org/10.3390/healthcare13080911, FI=2,7 </w:t>
      </w:r>
    </w:p>
    <w:p>
      <w:pPr>
        <w:numPr>
          <w:ilvl w:val="0"/>
          <w:numId w:val="6"/>
        </w:numPr>
        <w:ind w:right="50" w:hanging="414"/>
      </w:pPr>
      <w:r>
        <w:t xml:space="preserve">Ciolac L, Andreescu NI, Farcaș SS, Bernad ES, Tudor A, Nițu D-R, Popa D-I, </w:t>
      </w:r>
      <w:r>
        <w:rPr>
          <w:b/>
        </w:rPr>
        <w:t>Maghiari AL</w:t>
      </w:r>
      <w:r>
        <w:t xml:space="preserve">, Craina ML. System Genes and Their Association with Postpartum Depression Susceptibility. Genetic Variants in Oxytocinergic International Journal of Molecular Sciences. 2025; 26(5):2129. https://doi.org/10.3390/ijms26052129, FI=4,9 </w:t>
      </w:r>
    </w:p>
    <w:p>
      <w:pPr>
        <w:numPr>
          <w:ilvl w:val="0"/>
          <w:numId w:val="6"/>
        </w:numPr>
        <w:ind w:right="50" w:hanging="414"/>
      </w:pPr>
      <w:r>
        <w:t xml:space="preserve">Prodan-Bărbulescu, C., Watz, C.-G., Moacă, E.-A., Faur, A.-C., Dehelean, C.-A., Faur, F. I., Grigoriţă, L. O., </w:t>
      </w:r>
      <w:r>
        <w:rPr>
          <w:b/>
        </w:rPr>
        <w:t>Maghiari, AL</w:t>
      </w:r>
      <w:r>
        <w:t xml:space="preserve">., Tuţac, P., Duţă, C., Bolintineanu, S., &amp; Ghenciu, L. A. A Preliminary Report Regarding the Morphological Changes of Nano-Enabled Pharmaceutical Formulation on Human Lung Carcinoma Monolayer and 3D Bronchial, Microtissue. Medicina. 2024; 60(2):208. https://doi.org/10.3390/medicina60020208, FI=2,4 </w:t>
      </w:r>
    </w:p>
    <w:p>
      <w:pPr>
        <w:numPr>
          <w:ilvl w:val="0"/>
          <w:numId w:val="6"/>
        </w:numPr>
        <w:ind w:right="50" w:hanging="414"/>
      </w:pPr>
      <w:r>
        <w:t xml:space="preserve">Rosu LM, Prodan-Bărbulescu C, </w:t>
      </w:r>
      <w:r>
        <w:rPr>
          <w:b/>
        </w:rPr>
        <w:t>Maghiari AL</w:t>
      </w:r>
      <w:r>
        <w:t xml:space="preserve">, Bernad ES, Bernad RL, Iacob R, Stoicescu ER, Borozan F, Ghenciu LA. Current Trends in Diagnosis and Treatment Approach of Diabetic Retinopathy during Pregnancy: A Narrative Review. Diagnostics. 2024; 14(4):369. https://doi.org/10.3390/diagnostics14040369, FI=3,3 </w:t>
      </w:r>
    </w:p>
    <w:p>
      <w:pPr>
        <w:numPr>
          <w:ilvl w:val="0"/>
          <w:numId w:val="6"/>
        </w:numPr>
        <w:ind w:right="50" w:hanging="414"/>
      </w:pPr>
      <w:r>
        <w:t xml:space="preserve">Marta, C.-I., Craina, M., Nitu, R., </w:t>
      </w:r>
      <w:r>
        <w:rPr>
          <w:b/>
        </w:rPr>
        <w:t>Maghiari, AL.</w:t>
      </w:r>
      <w:r>
        <w:t xml:space="preserve">, Abu-Awwad, S.-A., Boscu, L., Diaconu, M., Dumitru, C., Dahma, G., Yasar, I.-I.,  Babes, K. A Comparative Analysis of NT-proBNP Levels in Pregnant Women and the Impact of SARS-CoV-2 Infection: Influence on Birth Outcome. Diseases, 12(1), 10. https://doi.org/10.3390/diseases12010010, FI=2,9 </w:t>
      </w:r>
    </w:p>
    <w:p>
      <w:pPr>
        <w:numPr>
          <w:ilvl w:val="0"/>
          <w:numId w:val="6"/>
        </w:numPr>
        <w:ind w:right="50" w:hanging="414"/>
      </w:pPr>
      <w:r>
        <w:t xml:space="preserve">Marta, C.-I., Craina, M., Nitu, R., </w:t>
      </w:r>
      <w:r>
        <w:rPr>
          <w:b/>
        </w:rPr>
        <w:t>Maghiari, AL.</w:t>
      </w:r>
      <w:r>
        <w:t xml:space="preserve">, Abu-Awwad, S.-A., Boscu, L., Diaconu, M., Dumitru, C., Sorop, B., Stelea, L., Babes, K. Variations in NT-proBNP Levels in Pregnant Patients with and without SARS-CoV-2 Infection: Consequences for the Newborns. Biomedicines. 2023; 11(11):2964. https://doi.org/10.3390/biomedicines11112964, FI=3,9 </w:t>
      </w:r>
    </w:p>
    <w:p>
      <w:pPr>
        <w:numPr>
          <w:ilvl w:val="0"/>
          <w:numId w:val="6"/>
        </w:numPr>
        <w:spacing w:after="6"/>
        <w:ind w:right="50" w:hanging="414"/>
      </w:pPr>
      <w:r>
        <w:t xml:space="preserve">Bernad, E. S., Duica, F., Antoniadis, P., Moza, A., Lungeanu, D., Craina, M., Bernad, B. C., Maghet, E., Vasilache, I.-A., </w:t>
      </w:r>
      <w:r>
        <w:rPr>
          <w:b/>
        </w:rPr>
        <w:t>Maghiari, AL</w:t>
      </w:r>
      <w:r>
        <w:t xml:space="preserve">., Arnautu, D.-A., &amp; Iacob, D. Maternal Fever and Reduced Fetal Movement as Predictive Risk Factors for Adverse Neonatal Outcome in Cases of Congenital SARS-CoV-2 Infection: A Meta-Analysis of Individual Participant Data from </w:t>
      </w:r>
    </w:p>
    <w:p>
      <w:pPr>
        <w:ind w:left="439" w:right="50" w:firstLine="0"/>
      </w:pPr>
      <w:r>
        <w:t xml:space="preserve">Case Reports and Case Series. Viruses. 2023; 15(7):1615. https://doi.org/10.3390/v15071615, FI=3,8 </w:t>
      </w:r>
    </w:p>
    <w:p>
      <w:pPr>
        <w:numPr>
          <w:ilvl w:val="0"/>
          <w:numId w:val="6"/>
        </w:numPr>
        <w:ind w:right="50" w:hanging="414"/>
      </w:pPr>
      <w:r>
        <w:t xml:space="preserve">Dahma, G., Reddy, G., Craina, M., Dumitru, C., Popescu, A., Stelea, L., Neamtu, R., Gluhovschi, A., Nitu, R., </w:t>
      </w:r>
      <w:r>
        <w:rPr>
          <w:b/>
        </w:rPr>
        <w:t>Maghiari, A. L.</w:t>
      </w:r>
      <w:r>
        <w:t xml:space="preserve">, Tapalaga, G., Arnautu, D. A., Nelluri, A., Maganti, R. K., &amp; Bernad, E. The Effects of Vitamin D Supplementation before 20 Weeks of Gestation on Preeclampsia: A Systematic Review. Journal of Personalized Medicine. 2023; 13(6):996. https://doi.org/10.3390/jpm13060996 </w:t>
      </w:r>
    </w:p>
    <w:p>
      <w:pPr>
        <w:numPr>
          <w:ilvl w:val="0"/>
          <w:numId w:val="6"/>
        </w:numPr>
        <w:ind w:right="50" w:hanging="414"/>
      </w:pPr>
      <w:r>
        <w:t xml:space="preserve">Pop DL, Nodiţi G, Abu-Awwad A, Maliţa DC, Zamfir CL, Grigoraş ML, Vermeşan D, Prejbeanu R, Hărăguş HG, </w:t>
      </w:r>
      <w:r>
        <w:rPr>
          <w:b/>
        </w:rPr>
        <w:t>Boşcu AL</w:t>
      </w:r>
      <w:r>
        <w:t xml:space="preserve">, Ciupe BC, Deleanu BN, Faur CI, Folescu R. Alveolar rhabdomyosarcoma in an adolescent male patient - case report and current perspectives. Rom J Morphol Embryol. 2018;59(4):1247-1252. FI=1,5 </w:t>
      </w:r>
    </w:p>
    <w:p>
      <w:pPr>
        <w:numPr>
          <w:ilvl w:val="0"/>
          <w:numId w:val="6"/>
        </w:numPr>
        <w:ind w:right="50" w:hanging="414"/>
      </w:pPr>
      <w:r>
        <w:t xml:space="preserve">Şorop VB, Borugă VM, Pînzaru IA, Barac IR, Utescu C, </w:t>
      </w:r>
      <w:r>
        <w:rPr>
          <w:b/>
        </w:rPr>
        <w:t>Maghiari AL</w:t>
      </w:r>
      <w:r>
        <w:t xml:space="preserve">, Baderca F, Bălan L, Şorop-Florea M, Dumitraşcu V, Anastasiu DM, Simu S, Radu D, Suciu O. Hormone treatment and UVB exposure influences on female mice regarding skin physiological parameters, biochemical parameters and organ histology. Rom J Morphol Embryol. 2020;61(3):879-887. doi:10.47162/RJME.61.3.26, FI=1.033 </w:t>
      </w:r>
    </w:p>
    <w:p>
      <w:pPr>
        <w:numPr>
          <w:ilvl w:val="0"/>
          <w:numId w:val="6"/>
        </w:numPr>
        <w:ind w:right="50" w:hanging="414"/>
      </w:pPr>
      <w:r>
        <w:t xml:space="preserve">Rusu MC, Pop F, </w:t>
      </w:r>
      <w:r>
        <w:rPr>
          <w:b/>
        </w:rPr>
        <w:t>Boşcu AL</w:t>
      </w:r>
      <w:r>
        <w:t xml:space="preserve">, Jianu AM, Dermengiu D, Curcă GC, Hostiuc S. Anatomical and immunohistochemical considerations on the microinnervation of trachea in humans. Ann Anat. 2011 Feb 20;193(1):13-22. doi: 10.1016/j.aanat.2010.08.001. Epub 2010 Aug 13. PMID: 20807677. FI=1.861 </w:t>
      </w:r>
    </w:p>
    <w:p>
      <w:pPr>
        <w:numPr>
          <w:ilvl w:val="0"/>
          <w:numId w:val="6"/>
        </w:numPr>
        <w:spacing w:after="6"/>
        <w:ind w:right="50" w:hanging="414"/>
      </w:pPr>
      <w:r>
        <w:t xml:space="preserve">Haragus H, Lazureanu V, Prejbeanu R, Mioc ML, </w:t>
      </w:r>
      <w:r>
        <w:rPr>
          <w:b/>
        </w:rPr>
        <w:t>Boșcu AL</w:t>
      </w:r>
      <w:r>
        <w:t xml:space="preserve">, Radu D, Painful Pretibial Cyst with Bioabsorbable Poly-L-lactic Acid Screw Migration 4 Years after Anterior Cruciate </w:t>
      </w:r>
    </w:p>
    <w:p>
      <w:pPr>
        <w:ind w:left="439" w:right="50" w:firstLine="0"/>
      </w:pPr>
      <w:r>
        <w:t xml:space="preserve">Ligament Reconstruction, Rev.Chim., 2015, 66(10):1655-1658, IF=1.351 </w:t>
      </w:r>
    </w:p>
    <w:p>
      <w:pPr>
        <w:spacing w:after="220" w:line="259" w:lineRule="auto"/>
        <w:ind w:left="0" w:firstLine="0"/>
        <w:jc w:val="left"/>
      </w:pPr>
      <w:r>
        <w:rPr>
          <w:b/>
        </w:rPr>
        <w:t xml:space="preserve"> </w:t>
      </w:r>
    </w:p>
    <w:p>
      <w:pPr>
        <w:pStyle w:val="2"/>
        <w:numPr>
          <w:ilvl w:val="0"/>
          <w:numId w:val="3"/>
        </w:numPr>
      </w:pPr>
      <w:r>
        <w:t xml:space="preserve">ARTICOLE PUBLICATE ÎN REVISTE RECUNOSCUTE BDI/B+/B </w:t>
      </w:r>
    </w:p>
    <w:p>
      <w:pPr>
        <w:numPr>
          <w:ilvl w:val="0"/>
          <w:numId w:val="7"/>
        </w:numPr>
        <w:spacing w:after="6"/>
        <w:ind w:right="50" w:hanging="360"/>
      </w:pPr>
      <w:r>
        <w:t xml:space="preserve">Moise M, Răducan S, </w:t>
      </w:r>
      <w:r>
        <w:rPr>
          <w:b/>
        </w:rPr>
        <w:t>Boscu AL</w:t>
      </w:r>
      <w:r>
        <w:t xml:space="preserve">, Jianu A, Niculescu M, Selaru M, Motoc A, </w:t>
      </w:r>
      <w:r>
        <w:rPr>
          <w:i/>
        </w:rPr>
        <w:t>Immunohistochemical profile of the estrogen and progesterone receptors in mammary benign lesions</w:t>
      </w:r>
      <w:r>
        <w:t xml:space="preserve">, Rev Med Chir Soc Med Nat Iasi. 2012 Jul-Sep;116(3):875-82, </w:t>
      </w:r>
      <w:r>
        <w:rPr>
          <w:b/>
        </w:rPr>
        <w:t>BDI.</w:t>
      </w:r>
      <w:r>
        <w:t xml:space="preserve"> </w:t>
      </w:r>
    </w:p>
    <w:p>
      <w:pPr>
        <w:spacing w:after="19" w:line="259" w:lineRule="auto"/>
        <w:ind w:left="360" w:firstLine="0"/>
        <w:jc w:val="left"/>
      </w:pPr>
      <w:r>
        <w:t xml:space="preserve"> </w:t>
      </w:r>
    </w:p>
    <w:p>
      <w:pPr>
        <w:numPr>
          <w:ilvl w:val="0"/>
          <w:numId w:val="7"/>
        </w:numPr>
        <w:spacing w:after="8"/>
        <w:ind w:right="50" w:hanging="360"/>
      </w:pPr>
      <w:r>
        <w:rPr>
          <w:b/>
        </w:rPr>
        <w:t>Boşcu AL</w:t>
      </w:r>
      <w:r>
        <w:t xml:space="preserve">., Niculescu M.C., Jianu A.M., Păduraru D., Rusu M.C, </w:t>
      </w:r>
      <w:r>
        <w:rPr>
          <w:i/>
        </w:rPr>
        <w:t>Anatomical pathways of tracheal innervation in the neck,</w:t>
      </w:r>
      <w:r>
        <w:t xml:space="preserve"> Revista Română de Anatomie funcțională și clinică, macro- și microscopică și de antropologie, 2010, vol. IX, nr. 2, pp.182-187.</w:t>
      </w:r>
      <w:r>
        <w:rPr>
          <w:b/>
        </w:rPr>
        <w:t xml:space="preserve"> BDI</w:t>
      </w:r>
      <w:r>
        <w:t xml:space="preserve"> </w:t>
      </w:r>
    </w:p>
    <w:p>
      <w:pPr>
        <w:spacing w:after="62" w:line="259" w:lineRule="auto"/>
        <w:ind w:left="360" w:firstLine="0"/>
        <w:jc w:val="left"/>
      </w:pPr>
    </w:p>
    <w:p>
      <w:pPr>
        <w:spacing w:after="62" w:line="259" w:lineRule="auto"/>
        <w:ind w:left="284" w:firstLine="0"/>
        <w:jc w:val="left"/>
      </w:pPr>
    </w:p>
    <w:p>
      <w:pPr>
        <w:spacing w:after="62" w:line="259" w:lineRule="auto"/>
        <w:ind w:left="284" w:firstLine="0"/>
        <w:jc w:val="left"/>
      </w:pPr>
    </w:p>
    <w:p>
      <w:pPr>
        <w:spacing w:after="62" w:line="259" w:lineRule="auto"/>
        <w:ind w:left="284" w:firstLine="0"/>
        <w:jc w:val="left"/>
      </w:pPr>
    </w:p>
    <w:p>
      <w:pPr>
        <w:spacing w:after="19" w:line="259" w:lineRule="auto"/>
        <w:ind w:left="0" w:firstLine="0"/>
        <w:jc w:val="left"/>
      </w:pPr>
      <w:r>
        <w:t xml:space="preserve"> </w:t>
      </w:r>
    </w:p>
    <w:p>
      <w:pPr>
        <w:pStyle w:val="2"/>
        <w:numPr>
          <w:ilvl w:val="0"/>
          <w:numId w:val="3"/>
        </w:numPr>
        <w:spacing w:after="10"/>
      </w:pPr>
      <w:r>
        <w:t xml:space="preserve">ARTICOLE/STUDII PUBLICATE ÎN VOLUMELE UNOR MANIFESTĂRI ȘTIINȚIFICE INTERNAȚIONALE </w:t>
      </w:r>
    </w:p>
    <w:p>
      <w:pPr>
        <w:spacing w:after="235" w:line="259" w:lineRule="auto"/>
        <w:ind w:left="0" w:firstLine="0"/>
        <w:jc w:val="left"/>
      </w:pPr>
      <w:r>
        <w:rPr>
          <w:b/>
          <w:sz w:val="22"/>
        </w:rPr>
        <w:t xml:space="preserve"> </w:t>
      </w:r>
    </w:p>
    <w:p>
      <w:pPr>
        <w:numPr>
          <w:ilvl w:val="0"/>
          <w:numId w:val="8"/>
        </w:numPr>
        <w:spacing w:after="7"/>
        <w:ind w:right="50" w:hanging="360"/>
      </w:pPr>
      <w:r>
        <w:t xml:space="preserve">Raducan S, Prejbeanu R, Vermesan D, Bolintineanu S, </w:t>
      </w:r>
      <w:r>
        <w:rPr>
          <w:b/>
        </w:rPr>
        <w:t>Boscu AL</w:t>
      </w:r>
      <w:r>
        <w:t>, Stana LG, Jianu AM, Motoc A</w:t>
      </w:r>
      <w:r>
        <w:rPr>
          <w:i/>
        </w:rPr>
        <w:t>., The joint mobility degree analysis at the level of the normal – degenerative knee joint</w:t>
      </w:r>
      <w:r>
        <w:t xml:space="preserve">,  1st International Symposium of Clinical and Applied Anatomy, 17-19 september, 2009, NoviSad, Serbia;2009; Abstract book:147 978-86-85251-24-5. </w:t>
      </w:r>
    </w:p>
    <w:p>
      <w:pPr>
        <w:spacing w:after="19" w:line="259" w:lineRule="auto"/>
        <w:ind w:left="360" w:firstLine="0"/>
        <w:jc w:val="left"/>
      </w:pPr>
      <w:r>
        <w:t xml:space="preserve"> </w:t>
      </w:r>
    </w:p>
    <w:p>
      <w:pPr>
        <w:numPr>
          <w:ilvl w:val="0"/>
          <w:numId w:val="8"/>
        </w:numPr>
        <w:spacing w:after="6"/>
        <w:ind w:right="50" w:hanging="360"/>
      </w:pPr>
      <w:r>
        <w:t xml:space="preserve">Niculescu V, Niculescu MC, Motoc A, Stana LG, Sisu AM, </w:t>
      </w:r>
      <w:r>
        <w:rPr>
          <w:b/>
        </w:rPr>
        <w:t>Boscu AL</w:t>
      </w:r>
      <w:r>
        <w:t xml:space="preserve">, Jianu AM., </w:t>
      </w:r>
      <w:r>
        <w:rPr>
          <w:i/>
        </w:rPr>
        <w:t>Anatomoclinical data relating to tracheal cartilages</w:t>
      </w:r>
      <w:r>
        <w:t xml:space="preserve">, 1st International Symposium of Clinical and Applied Anatomy, 17-19 september, 2009, NoviSad, Serbia; 2009; Abstract book:160 978-86-8525124-5. </w:t>
      </w:r>
    </w:p>
    <w:p>
      <w:pPr>
        <w:spacing w:after="19" w:line="259" w:lineRule="auto"/>
        <w:ind w:left="0" w:firstLine="0"/>
        <w:jc w:val="left"/>
      </w:pPr>
      <w:r>
        <w:t xml:space="preserve"> </w:t>
      </w:r>
    </w:p>
    <w:p>
      <w:pPr>
        <w:numPr>
          <w:ilvl w:val="0"/>
          <w:numId w:val="8"/>
        </w:numPr>
        <w:spacing w:after="7"/>
        <w:ind w:right="50" w:hanging="360"/>
      </w:pPr>
      <w:r>
        <w:t xml:space="preserve">Niculescu M., Niculescu V., Boolintineanu S., Stana L., </w:t>
      </w:r>
      <w:r>
        <w:rPr>
          <w:b/>
        </w:rPr>
        <w:t>Boscu AL.</w:t>
      </w:r>
      <w:r>
        <w:t xml:space="preserve">, Jianu A., </w:t>
      </w:r>
      <w:r>
        <w:rPr>
          <w:i/>
        </w:rPr>
        <w:t>Aspects of variability morphologic of the tracheal cartilages</w:t>
      </w:r>
      <w:r>
        <w:t xml:space="preserve">, 25. Arbeitstagung der Anatomische Gesellschaft in Wurzburg, Germany, September 24-29, 2008; Posterabstracts; Abstract Nr.:18 DOI 10.3337/anatges.2008.0007. </w:t>
      </w:r>
    </w:p>
    <w:p>
      <w:pPr>
        <w:spacing w:after="19" w:line="259" w:lineRule="auto"/>
        <w:ind w:left="360" w:firstLine="0"/>
        <w:jc w:val="left"/>
      </w:pPr>
      <w:r>
        <w:t xml:space="preserve"> </w:t>
      </w:r>
    </w:p>
    <w:p>
      <w:pPr>
        <w:numPr>
          <w:ilvl w:val="0"/>
          <w:numId w:val="8"/>
        </w:numPr>
        <w:spacing w:after="6"/>
        <w:ind w:right="50" w:hanging="360"/>
      </w:pPr>
      <w:r>
        <w:t xml:space="preserve">Bolintineanu S, Brad S, Vaida M, Grigoriţă L, </w:t>
      </w:r>
      <w:r>
        <w:rPr>
          <w:b/>
        </w:rPr>
        <w:t>Boscu AL</w:t>
      </w:r>
      <w:r>
        <w:t xml:space="preserve">, Motoc A, </w:t>
      </w:r>
      <w:r>
        <w:rPr>
          <w:i/>
        </w:rPr>
        <w:t>Computer tomography investigation in the primary tumoral pathology of the orbits</w:t>
      </w:r>
      <w:r>
        <w:t xml:space="preserve">, Verhandlungen der Anatomischen Gesellschaft,  Wurzburg, 2004, p. 24, ISSN 0066-1562. </w:t>
      </w:r>
    </w:p>
    <w:p>
      <w:pPr>
        <w:spacing w:after="4" w:line="259" w:lineRule="auto"/>
        <w:ind w:left="0" w:firstLine="0"/>
        <w:jc w:val="left"/>
      </w:pPr>
      <w:r>
        <w:t xml:space="preserve"> </w:t>
      </w:r>
    </w:p>
    <w:p>
      <w:pPr>
        <w:spacing w:after="33" w:line="259" w:lineRule="auto"/>
        <w:ind w:left="0" w:firstLine="0"/>
        <w:jc w:val="left"/>
      </w:pPr>
      <w:r>
        <w:rPr>
          <w:sz w:val="22"/>
        </w:rPr>
        <w:t xml:space="preserve"> </w:t>
      </w:r>
    </w:p>
    <w:p>
      <w:pPr>
        <w:pStyle w:val="2"/>
        <w:numPr>
          <w:ilvl w:val="0"/>
          <w:numId w:val="3"/>
        </w:numPr>
      </w:pPr>
      <w:r>
        <w:t xml:space="preserve">ARTICOLE/STUDII PUBLICATE ÎN VOLUMELE UNOR MANIFESTĂRI ȘTIINȚIFICE NATIONALE cu participare internatională </w:t>
      </w:r>
    </w:p>
    <w:p>
      <w:pPr>
        <w:numPr>
          <w:ilvl w:val="0"/>
          <w:numId w:val="9"/>
        </w:numPr>
        <w:spacing w:after="6"/>
        <w:ind w:right="50" w:hanging="360"/>
      </w:pPr>
      <w:r>
        <w:t xml:space="preserve">Pusztai A., Dăescu E., Roșu L., Vaida MA., </w:t>
      </w:r>
      <w:r>
        <w:rPr>
          <w:b/>
        </w:rPr>
        <w:t>Maghiari AL</w:t>
      </w:r>
      <w:r>
        <w:t xml:space="preserve">., Matusz P., </w:t>
      </w:r>
      <w:r>
        <w:rPr>
          <w:i/>
        </w:rPr>
        <w:t>Lymphedema. Anatomical and scintigraphic study,</w:t>
      </w:r>
      <w:r>
        <w:t xml:space="preserve"> Zilele Anatomice Timișorene, 2019. </w:t>
      </w:r>
    </w:p>
    <w:p>
      <w:pPr>
        <w:numPr>
          <w:ilvl w:val="0"/>
          <w:numId w:val="9"/>
        </w:numPr>
        <w:ind w:right="50" w:hanging="360"/>
      </w:pPr>
      <w:r>
        <w:t xml:space="preserve">Pusztai A., Roșu L., </w:t>
      </w:r>
      <w:r>
        <w:rPr>
          <w:b/>
        </w:rPr>
        <w:t>Maghiari AL</w:t>
      </w:r>
      <w:r>
        <w:t xml:space="preserve">., Lupulescu R., Buciu VB, Crăiniceanu ZP., </w:t>
      </w:r>
      <w:r>
        <w:rPr>
          <w:i/>
        </w:rPr>
        <w:t>The lymphatic drainage of the breast. The sentinel lymph node concept,</w:t>
      </w:r>
      <w:r>
        <w:t xml:space="preserve">  Zilele Anatomice Timișorene, 2019. </w:t>
      </w:r>
    </w:p>
    <w:p>
      <w:pPr>
        <w:numPr>
          <w:ilvl w:val="0"/>
          <w:numId w:val="9"/>
        </w:numPr>
        <w:spacing w:after="7"/>
        <w:ind w:right="50" w:hanging="360"/>
      </w:pPr>
      <w:r>
        <w:t xml:space="preserve">Selaru M., Sava A., Stana L., Jianu A.M., Şişu A., Grigoriţă L., Moise M., </w:t>
      </w:r>
      <w:r>
        <w:rPr>
          <w:b/>
        </w:rPr>
        <w:t>Boscu AL.,</w:t>
      </w:r>
      <w:r>
        <w:t xml:space="preserve"> Hogea B., Răducan S., Motoc A., </w:t>
      </w:r>
      <w:r>
        <w:rPr>
          <w:i/>
        </w:rPr>
        <w:t>The importance of the anatomical variations of the cystic duct in the biliary pathology</w:t>
      </w:r>
      <w:r>
        <w:t xml:space="preserve">, Al XI-lea Congres Naţional al Societăţii Anatomiştilor din România cu participare internaţională, Constanţa, 12-15 Mai 2010, Rezumate:144, ISBN 978-973-614540-7. </w:t>
      </w:r>
    </w:p>
    <w:p>
      <w:pPr>
        <w:spacing w:after="0" w:line="259" w:lineRule="auto"/>
        <w:ind w:left="0" w:firstLine="0"/>
        <w:jc w:val="left"/>
      </w:pPr>
      <w:r>
        <w:t xml:space="preserve"> </w:t>
      </w:r>
    </w:p>
    <w:p>
      <w:pPr>
        <w:spacing w:after="38" w:line="259" w:lineRule="auto"/>
        <w:ind w:left="0" w:firstLine="0"/>
        <w:jc w:val="left"/>
      </w:pPr>
      <w:r>
        <w:rPr>
          <w:sz w:val="22"/>
        </w:rPr>
        <w:t xml:space="preserve"> </w:t>
      </w:r>
    </w:p>
    <w:p>
      <w:pPr>
        <w:pStyle w:val="2"/>
        <w:numPr>
          <w:ilvl w:val="0"/>
          <w:numId w:val="3"/>
        </w:numPr>
        <w:spacing w:after="9"/>
      </w:pPr>
      <w:r>
        <w:t xml:space="preserve">APARTENENȚA LA ORGANIZAȚII PROFESIONALE </w:t>
      </w:r>
    </w:p>
    <w:p>
      <w:pPr>
        <w:spacing w:after="24" w:line="259" w:lineRule="auto"/>
        <w:ind w:left="360" w:firstLine="0"/>
        <w:jc w:val="left"/>
      </w:pPr>
      <w:r>
        <w:rPr>
          <w:b/>
        </w:rPr>
        <w:t xml:space="preserve"> </w:t>
      </w:r>
    </w:p>
    <w:p>
      <w:pPr>
        <w:numPr>
          <w:ilvl w:val="0"/>
          <w:numId w:val="10"/>
        </w:numPr>
        <w:spacing w:after="16"/>
        <w:ind w:right="50" w:hanging="708"/>
      </w:pPr>
      <w:r>
        <w:t xml:space="preserve">Societatea Română de Anatomie (2012-prezent) </w:t>
      </w:r>
    </w:p>
    <w:p>
      <w:pPr>
        <w:numPr>
          <w:ilvl w:val="0"/>
          <w:numId w:val="10"/>
        </w:numPr>
        <w:spacing w:after="16"/>
        <w:ind w:right="50" w:hanging="708"/>
      </w:pPr>
      <w:r>
        <w:t xml:space="preserve">Societatea Germană de Anatomie – ” Anatomische Gesellschaft” (2012-prezent) </w:t>
      </w:r>
    </w:p>
    <w:p>
      <w:pPr>
        <w:numPr>
          <w:ilvl w:val="0"/>
          <w:numId w:val="10"/>
        </w:numPr>
        <w:spacing w:after="16"/>
        <w:ind w:right="50" w:hanging="708"/>
      </w:pPr>
      <w:r>
        <w:t xml:space="preserve">Societatea Română de Morfologie Normala și Patologică (2012-prezent) </w:t>
      </w:r>
    </w:p>
    <w:p>
      <w:pPr>
        <w:spacing w:after="0" w:line="259" w:lineRule="auto"/>
        <w:ind w:left="720" w:firstLine="0"/>
        <w:jc w:val="left"/>
      </w:pPr>
      <w:r>
        <w:t xml:space="preserve"> </w:t>
      </w:r>
    </w:p>
    <w:p>
      <w:pPr>
        <w:spacing w:after="19" w:line="259" w:lineRule="auto"/>
        <w:ind w:left="0" w:firstLine="0"/>
        <w:jc w:val="left"/>
      </w:pPr>
      <w:r>
        <w:rPr>
          <w:b/>
          <w:sz w:val="22"/>
        </w:rPr>
        <w:t xml:space="preserve"> </w:t>
      </w:r>
    </w:p>
    <w:p>
      <w:pPr>
        <w:pStyle w:val="2"/>
        <w:numPr>
          <w:ilvl w:val="0"/>
          <w:numId w:val="3"/>
        </w:numPr>
      </w:pPr>
      <w:r>
        <w:rPr>
          <w:sz w:val="22"/>
        </w:rPr>
        <w:t xml:space="preserve"> </w:t>
      </w:r>
      <w:r>
        <w:t xml:space="preserve">RAPORTUL CITĂRILOR ŞI INDICE HIRSCH CONFORM ISI WEB OF SCIENCE(MAI 2026) </w:t>
      </w:r>
    </w:p>
    <w:p>
      <w:pPr>
        <w:spacing w:after="158" w:line="259" w:lineRule="auto"/>
        <w:ind w:left="0" w:right="173" w:firstLine="0"/>
        <w:jc w:val="right"/>
      </w:pPr>
      <w:r>
        <w:drawing>
          <wp:inline distT="0" distB="0" distL="0" distR="0">
            <wp:extent cx="6540500" cy="1383665"/>
            <wp:effectExtent l="0" t="0" r="0" b="0"/>
            <wp:docPr id="7754" name="Picture 7754" descr="A screenshot of a cell phone&#10;&#10;AI-generated content may be incorrect."/>
            <wp:cNvGraphicFramePr/>
            <a:graphic xmlns:a="http://schemas.openxmlformats.org/drawingml/2006/main">
              <a:graphicData uri="http://schemas.openxmlformats.org/drawingml/2006/picture">
                <pic:pic xmlns:pic="http://schemas.openxmlformats.org/drawingml/2006/picture">
                  <pic:nvPicPr>
                    <pic:cNvPr id="7754" name="Picture 7754" descr="A screenshot of a cell phone&#10;&#10;AI-generated content may be incorrect."/>
                    <pic:cNvPicPr/>
                  </pic:nvPicPr>
                  <pic:blipFill>
                    <a:blip r:embed="rId9"/>
                    <a:stretch>
                      <a:fillRect/>
                    </a:stretch>
                  </pic:blipFill>
                  <pic:spPr>
                    <a:xfrm>
                      <a:off x="0" y="0"/>
                      <a:ext cx="6541009" cy="1383792"/>
                    </a:xfrm>
                    <a:prstGeom prst="rect">
                      <a:avLst/>
                    </a:prstGeom>
                  </pic:spPr>
                </pic:pic>
              </a:graphicData>
            </a:graphic>
          </wp:inline>
        </w:drawing>
      </w:r>
      <w:r>
        <w:rPr>
          <w:b/>
        </w:rPr>
        <w:t xml:space="preserve"> </w:t>
      </w:r>
    </w:p>
    <w:p>
      <w:pPr>
        <w:spacing w:after="168" w:line="259" w:lineRule="auto"/>
        <w:ind w:left="0" w:firstLine="0"/>
        <w:jc w:val="right"/>
      </w:pPr>
      <w:r>
        <w:drawing>
          <wp:inline distT="0" distB="0" distL="0" distR="0">
            <wp:extent cx="6646545" cy="3361055"/>
            <wp:effectExtent l="0" t="0" r="0" b="0"/>
            <wp:docPr id="66" name="Picture 66" descr="A graph with a line going up&#10;&#10;AI-generated content may be incorrect."/>
            <wp:cNvGraphicFramePr/>
            <a:graphic xmlns:a="http://schemas.openxmlformats.org/drawingml/2006/main">
              <a:graphicData uri="http://schemas.openxmlformats.org/drawingml/2006/picture">
                <pic:pic xmlns:pic="http://schemas.openxmlformats.org/drawingml/2006/picture">
                  <pic:nvPicPr>
                    <pic:cNvPr id="66" name="Picture 66" descr="A graph with a line going up&#10;&#10;AI-generated content may be incorrect."/>
                    <pic:cNvPicPr/>
                  </pic:nvPicPr>
                  <pic:blipFill>
                    <a:blip r:embed="rId10"/>
                    <a:stretch>
                      <a:fillRect/>
                    </a:stretch>
                  </pic:blipFill>
                  <pic:spPr>
                    <a:xfrm>
                      <a:off x="0" y="0"/>
                      <a:ext cx="6646545" cy="3361055"/>
                    </a:xfrm>
                    <a:prstGeom prst="rect">
                      <a:avLst/>
                    </a:prstGeom>
                  </pic:spPr>
                </pic:pic>
              </a:graphicData>
            </a:graphic>
          </wp:inline>
        </w:drawing>
      </w:r>
      <w:r>
        <w:rPr>
          <w:b/>
        </w:rPr>
        <w:t xml:space="preserve"> </w:t>
      </w:r>
    </w:p>
    <w:p>
      <w:pPr>
        <w:spacing w:after="14" w:line="259" w:lineRule="auto"/>
        <w:ind w:left="0" w:firstLine="0"/>
        <w:jc w:val="left"/>
      </w:pPr>
    </w:p>
    <w:p>
      <w:pPr>
        <w:spacing w:after="19" w:line="259" w:lineRule="auto"/>
        <w:ind w:left="0" w:firstLine="0"/>
        <w:jc w:val="left"/>
      </w:pPr>
      <w:r>
        <w:rPr>
          <w:sz w:val="22"/>
        </w:rPr>
        <w:t xml:space="preserve"> </w:t>
      </w:r>
    </w:p>
    <w:p>
      <w:pPr>
        <w:spacing w:after="19" w:line="259" w:lineRule="auto"/>
        <w:ind w:left="720" w:firstLine="0"/>
        <w:jc w:val="left"/>
      </w:pPr>
      <w:r>
        <w:rPr>
          <w:sz w:val="22"/>
        </w:rPr>
        <w:t xml:space="preserve"> </w:t>
      </w:r>
    </w:p>
    <w:p>
      <w:pPr>
        <w:spacing w:after="33" w:line="259" w:lineRule="auto"/>
        <w:ind w:left="720" w:firstLine="0"/>
        <w:jc w:val="left"/>
      </w:pPr>
      <w:r>
        <w:rPr>
          <w:sz w:val="22"/>
        </w:rPr>
        <w:t xml:space="preserve"> </w:t>
      </w:r>
    </w:p>
    <w:p>
      <w:pPr>
        <w:pStyle w:val="2"/>
        <w:spacing w:after="7"/>
        <w:ind w:left="4258"/>
      </w:pPr>
      <w:r>
        <w:t>Șef Lucrări Dr. Med. Maghiari(fostă Boșcu) Anca Laura</w:t>
      </w:r>
      <w:r>
        <w:rPr>
          <w:b w:val="0"/>
          <w:sz w:val="22"/>
        </w:rPr>
        <w:t xml:space="preserve"> </w:t>
      </w:r>
    </w:p>
    <w:sectPr>
      <w:headerReference r:id="rId7" w:type="first"/>
      <w:headerReference r:id="rId5" w:type="default"/>
      <w:headerReference r:id="rId6" w:type="even"/>
      <w:pgSz w:w="11904" w:h="16838"/>
      <w:pgMar w:top="2111" w:right="653" w:bottom="799" w:left="720" w:header="706"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等线">
    <w:altName w:val="宋体-简"/>
    <w:panose1 w:val="00000000000000000000"/>
    <w:charset w:val="86"/>
    <w:family w:val="auto"/>
    <w:pitch w:val="default"/>
    <w:sig w:usb0="00000000" w:usb1="00000000" w:usb2="00000000" w:usb3="00000000" w:csb0="00000000" w:csb1="00000000"/>
  </w:font>
  <w:font w:name="等线">
    <w:altName w:val="宋体-简"/>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9" w:line="259" w:lineRule="auto"/>
      <w:ind w:left="0" w:right="-261" w:firstLine="0"/>
      <w:jc w:val="right"/>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page">
                <wp:posOffset>7165340</wp:posOffset>
              </wp:positionH>
              <wp:positionV relativeFrom="page">
                <wp:posOffset>447675</wp:posOffset>
              </wp:positionV>
              <wp:extent cx="8890" cy="563880"/>
              <wp:effectExtent l="0" t="0" r="0" b="0"/>
              <wp:wrapSquare wrapText="bothSides"/>
              <wp:docPr id="7784" name="Group 7784"/>
              <wp:cNvGraphicFramePr/>
              <a:graphic xmlns:a="http://schemas.openxmlformats.org/drawingml/2006/main">
                <a:graphicData uri="http://schemas.microsoft.com/office/word/2010/wordprocessingGroup">
                  <wpg:wgp>
                    <wpg:cNvGrpSpPr/>
                    <wpg:grpSpPr>
                      <a:xfrm>
                        <a:off x="0" y="0"/>
                        <a:ext cx="9144" cy="563880"/>
                        <a:chOff x="0" y="0"/>
                        <a:chExt cx="9144" cy="563880"/>
                      </a:xfrm>
                    </wpg:grpSpPr>
                    <wps:wsp>
                      <wps:cNvPr id="7928" name="Shape 7928"/>
                      <wps:cNvSpPr/>
                      <wps:spPr>
                        <a:xfrm>
                          <a:off x="0" y="0"/>
                          <a:ext cx="9144" cy="563880"/>
                        </a:xfrm>
                        <a:custGeom>
                          <a:avLst/>
                          <a:gdLst/>
                          <a:ahLst/>
                          <a:cxnLst/>
                          <a:rect l="0" t="0" r="0" b="0"/>
                          <a:pathLst>
                            <a:path w="9144" h="563880">
                              <a:moveTo>
                                <a:pt x="0" y="0"/>
                              </a:moveTo>
                              <a:lnTo>
                                <a:pt x="9144" y="0"/>
                              </a:lnTo>
                              <a:lnTo>
                                <a:pt x="9144" y="563880"/>
                              </a:lnTo>
                              <a:lnTo>
                                <a:pt x="0" y="563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564.2pt;margin-top:35.25pt;height:44.4pt;width:0.7pt;mso-position-horizontal-relative:page;mso-position-vertical-relative:page;mso-wrap-distance-bottom:0pt;mso-wrap-distance-left:9pt;mso-wrap-distance-right:9pt;mso-wrap-distance-top:0pt;z-index:251660288;mso-width-relative:page;mso-height-relative:page;" coordsize="9144,563880" o:gfxdata="UEsFBgAAAAAAAAAAAAAAAAAAAAAAAFBLAwQKAAAAAACHTuJAAAAAAAAAAAAAAAAABAAAAGRycy9Q&#10;SwMEFAAAAAgAh07iQK/2SQDbAAAADAEAAA8AAABkcnMvZG93bnJldi54bWxNj11PwjAUhu9N/A/N&#10;MfFO2g6nMNcRQ9QrQiKYEO7KetgW1nZZywb/3sOV3p0358n7kS8utmUD9qHxToGcCGDoSm8aVyn4&#10;2X4+zYCFqJ3RrXeo4IoBFsX9Xa4z40f3jcMmVoxMXMi0gjrGLuM8lDVaHSa+Q0e/o++tjiT7ipte&#10;j2RuW54I8cKtbhwl1LrDZY3laXO2Cr5GPb5P5cewOh2X1/02Xe9WEpV6fJDiDVjES/yD4VafqkNB&#10;nQ7+7ExgLWmZzJ6JVfAqUmA3QiZzWnOgK51PgRc5/z+i+AVQSwMEFAAAAAgAh07iQIViTxxJAgAA&#10;2AUAAA4AAABkcnMvZTJvRG9jLnhtbKVU227bMAx9H7B/EPS+OMm6JjXi9GFZ8zJsBdp+gCLLtgDd&#10;IClx+vej6EvSFOuK1Q82LR1SPIcUV7dHrchB+CCtKehsMqVEGG5LaeqCPj3efVlSEiIzJVPWiII+&#10;i0Bv158/rVqXi7ltrCqFJxDEhLx1BW1idHmWBd4IzcLEOmFgs7Jeswi/vs5Kz1qIrlU2n06vs9b6&#10;0nnLRQiwuuk2aR/RvyegrSrJxcbyvRYmdlG9UCwCpdBIF+gas60qwePvqgoiElVQYBrxDYeAvUvv&#10;bL1iee2ZayTvU2DvSeGCk2bSwKFjqA2LjOy9fBVKS+5tsFWccKuzjggqAixm0wtttt7uHXKp87Z2&#10;o+hQqAvV/zss/3W490SWBV0slleUGKah5ngwwRUQqHV1Dritdw/u3vcLdfeXOB8rr9MX2JAjSvs8&#10;SiuOkXBYvJldQXQOG9+uvy6XvfC8geq88uHNjze8suHALOU1ptE6aMdw0ih8TKOHhjmB0ofEfdDo&#10;Zg63o9MIEWSRVlASxI0ChTyAVh9RZ+TJcr4PcSssiswOP0PsurYcLNYMFj+awfTQ+292vWMx+aUc&#10;k0naoUrNWKS0p+1BPFpExYtSQYqnXWXOUV29hz4A4LA9fB0GG2GnrvgrFq7si/b5BxBbbMSAkUiu&#10;V72BxME+lzZYJcs7qVQiG3y9+648ObA0OfBJdQaXFzBlkm6QGmcwCyuYQTgGtIwwJJXUMGHnC/Du&#10;fZWBEKlVu+5I1s6Wz3ircB1aGBF44fG4fjiliXL+j6jTQF7/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K/2SQDbAAAADAEAAA8AAAAAAAAAAQAgAAAAOAAAAGRycy9kb3ducmV2LnhtbFBLAQIUABQA&#10;AAAIAIdO4kCFYk8cSQIAANgFAAAOAAAAAAAAAAEAIAAAAEABAABkcnMvZTJvRG9jLnhtbFBLBQYA&#10;AAAABgAGAFkBAAD7BQAAAAA=&#10;">
              <o:lock v:ext="edit" aspectratio="f"/>
              <v:shape id="Shape 7928" o:spid="_x0000_s1026" o:spt="100" style="position:absolute;left:0;top:0;height:563880;width:9144;" fillcolor="#000000" filled="t" stroked="f" coordsize="9144,563880" o:gfxdata="UEsFBgAAAAAAAAAAAAAAAAAAAAAAAFBLAwQKAAAAAACHTuJAAAAAAAAAAAAAAAAABAAAAGRycy9Q&#10;SwMEFAAAAAgAh07iQJVurZS5AAAA3QAAAA8AAABkcnMvZG93bnJldi54bWxFT82KwjAQvgv7DmEW&#10;vGlqD+7aNQoKoiDIbt0HGJqxLTaT0Ix/b28OgseP73++vLtOXamPrWcDk3EGirjytuXawP9xM/oG&#10;FQXZYueZDDwownLxMZhjYf2N/+haSq1SCMcCDTQiodA6Vg05jGMfiBN38r1DSbCvte3xlsJdp/Ms&#10;m2qHLaeGBgOtG6rO5cUZsDmtnfweZXXan7eHVQy6wmDM8HOS/YASustb/HLvrIGvWZ7mpjfpCejF&#10;E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Vbq2UuQAAAN0AAAAPAAAAAAAAAAEAIAAAADgAAABkcnMvZG93bnJldi54bWxQ&#10;SwECFAAUAAAACACHTuJAMy8FnjsAAAA5AAAAEAAAAAAAAAABACAAAAAeAQAAZHJzL3NoYXBleG1s&#10;LnhtbFBLBQYAAAAABgAGAFsBAADIAwAAAAA=&#10;" path="m0,0l9144,0,9144,563880,0,563880,0,0e">
                <v:fill on="t" focussize="0,0"/>
                <v:stroke on="f" weight="0pt" miterlimit="1" joinstyle="miter"/>
                <v:imagedata o:title=""/>
                <o:lock v:ext="edit" aspectratio="f"/>
              </v:shape>
              <w10:wrap type="square"/>
            </v:group>
          </w:pict>
        </mc:Fallback>
      </mc:AlternateContent>
    </w:r>
    <w:r>
      <w:rPr>
        <w:rFonts w:ascii="Times New Roman" w:hAnsi="Times New Roman" w:eastAsia="Times New Roman" w:cs="Times New Roman"/>
        <w:b/>
        <w:sz w:val="28"/>
      </w:rPr>
      <w:t xml:space="preserve">Lista de lucrări publicate </w:t>
    </w: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b/>
        <w:sz w:val="22"/>
      </w:rPr>
      <w:t xml:space="preserve"> </w:t>
    </w:r>
  </w:p>
  <w:p>
    <w:pPr>
      <w:spacing w:after="199" w:line="259" w:lineRule="auto"/>
      <w:ind w:left="0" w:right="65" w:firstLine="0"/>
      <w:jc w:val="right"/>
    </w:pPr>
    <w:r>
      <w:rPr>
        <w:rFonts w:ascii="Times New Roman" w:hAnsi="Times New Roman" w:eastAsia="Times New Roman" w:cs="Times New Roman"/>
        <w:i/>
      </w:rPr>
      <w:t xml:space="preserve">Șef Lucrări Dr. Maghiari Anca Laura  </w:t>
    </w:r>
  </w:p>
  <w:p>
    <w:pPr>
      <w:spacing w:after="0" w:line="259" w:lineRule="auto"/>
      <w:ind w:left="0" w:firstLine="0"/>
      <w:jc w:val="left"/>
    </w:pPr>
    <w:r>
      <w:rPr>
        <w:rFonts w:ascii="Calibri" w:hAnsi="Calibri" w:eastAsia="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9" w:line="259" w:lineRule="auto"/>
      <w:ind w:left="0" w:right="-261" w:firstLine="0"/>
      <w:jc w:val="right"/>
    </w:pPr>
    <w:r>
      <w:rPr>
        <w:rFonts w:ascii="Calibri" w:hAnsi="Calibri" w:eastAsia="Calibri" w:cs="Calibri"/>
        <w:sz w:val="22"/>
      </w:rPr>
      <mc:AlternateContent>
        <mc:Choice Requires="wpg">
          <w:drawing>
            <wp:anchor distT="0" distB="0" distL="114300" distR="114300" simplePos="0" relativeHeight="251659264" behindDoc="0" locked="0" layoutInCell="1" allowOverlap="1">
              <wp:simplePos x="0" y="0"/>
              <wp:positionH relativeFrom="page">
                <wp:posOffset>7165340</wp:posOffset>
              </wp:positionH>
              <wp:positionV relativeFrom="page">
                <wp:posOffset>447675</wp:posOffset>
              </wp:positionV>
              <wp:extent cx="8890" cy="563880"/>
              <wp:effectExtent l="0" t="0" r="0" b="0"/>
              <wp:wrapSquare wrapText="bothSides"/>
              <wp:docPr id="7803" name="Group 7803"/>
              <wp:cNvGraphicFramePr/>
              <a:graphic xmlns:a="http://schemas.openxmlformats.org/drawingml/2006/main">
                <a:graphicData uri="http://schemas.microsoft.com/office/word/2010/wordprocessingGroup">
                  <wpg:wgp>
                    <wpg:cNvGrpSpPr/>
                    <wpg:grpSpPr>
                      <a:xfrm>
                        <a:off x="0" y="0"/>
                        <a:ext cx="9144" cy="563880"/>
                        <a:chOff x="0" y="0"/>
                        <a:chExt cx="9144" cy="563880"/>
                      </a:xfrm>
                    </wpg:grpSpPr>
                    <wps:wsp>
                      <wps:cNvPr id="7930" name="Shape 7930"/>
                      <wps:cNvSpPr/>
                      <wps:spPr>
                        <a:xfrm>
                          <a:off x="0" y="0"/>
                          <a:ext cx="9144" cy="563880"/>
                        </a:xfrm>
                        <a:custGeom>
                          <a:avLst/>
                          <a:gdLst/>
                          <a:ahLst/>
                          <a:cxnLst/>
                          <a:rect l="0" t="0" r="0" b="0"/>
                          <a:pathLst>
                            <a:path w="9144" h="563880">
                              <a:moveTo>
                                <a:pt x="0" y="0"/>
                              </a:moveTo>
                              <a:lnTo>
                                <a:pt x="9144" y="0"/>
                              </a:lnTo>
                              <a:lnTo>
                                <a:pt x="9144" y="563880"/>
                              </a:lnTo>
                              <a:lnTo>
                                <a:pt x="0" y="563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564.2pt;margin-top:35.25pt;height:44.4pt;width:0.7pt;mso-position-horizontal-relative:page;mso-position-vertical-relative:page;mso-wrap-distance-bottom:0pt;mso-wrap-distance-left:9pt;mso-wrap-distance-right:9pt;mso-wrap-distance-top:0pt;z-index:251659264;mso-width-relative:page;mso-height-relative:page;" coordsize="9144,563880" o:gfxdata="UEsFBgAAAAAAAAAAAAAAAAAAAAAAAFBLAwQKAAAAAACHTuJAAAAAAAAAAAAAAAAABAAAAGRycy9Q&#10;SwMEFAAAAAgAh07iQK/2SQDbAAAADAEAAA8AAABkcnMvZG93bnJldi54bWxNj11PwjAUhu9N/A/N&#10;MfFO2g6nMNcRQ9QrQiKYEO7KetgW1nZZywb/3sOV3p0358n7kS8utmUD9qHxToGcCGDoSm8aVyn4&#10;2X4+zYCFqJ3RrXeo4IoBFsX9Xa4z40f3jcMmVoxMXMi0gjrGLuM8lDVaHSa+Q0e/o++tjiT7ipte&#10;j2RuW54I8cKtbhwl1LrDZY3laXO2Cr5GPb5P5cewOh2X1/02Xe9WEpV6fJDiDVjES/yD4VafqkNB&#10;nQ7+7ExgLWmZzJ6JVfAqUmA3QiZzWnOgK51PgRc5/z+i+AVQSwMEFAAAAAgAh07iQGsA6llJAgAA&#10;2AUAAA4AAABkcnMvZTJvRG9jLnhtbKVU227bMAx9H7B/EPS+OJeuSY0kfVjWvAxbgXYfoMiyLUA3&#10;SEqc/P0o+pI0xbpi9YNNSYcUzyHN5f1RK3IQPkhrVnQyGlMiDLeFNNWK/n5++LKgJERmCqasESt6&#10;EoHerz9/WjYuF1NbW1UITyCICXnjVrSO0eVZFngtNAsj64SBw9J6zSIsfZUVnjUQXatsOh7fZo31&#10;hfOWixBgd9Me0i6if09AW5aSi43ley1MbKN6oVgESqGWLtA1ZluWgsdfZRlEJGpFgWnEN1wC9i69&#10;s/WS5ZVnrpa8S4G9J4UrTppJA5cOoTYsMrL38lUoLbm3wZZxxK3OWiKoCLCYjK+02Xq7d8ilypvK&#10;DaJDoa5U/++w/Ofh0RNZrOh8MZ5RYpiGmuPFBHdAoMZVOeC23j25R99tVO0qcT6WXqcvsCFHlPY0&#10;SCuOkXDYvJvc3FDC4eDr7Wyx6ITnNVTnlQ+vv7/hlfUXZimvIY3GQTuGs0bhYxo91cwJlD4k7r1G&#10;dzNonFYjRJB52kFJEDcIFPIAWn1EnYEny/k+xK2wKDI7/Aix7dqit1jdW/xoetND77/Z9Y7F5Jdy&#10;TCZp+irVQ5HSmbYH8WwRFa9KBSmeT5W5RLX17vsAgP1x/3UYbICdu+KvWFD+Rfv8A4hlGTBgJJLr&#10;ZWcgcbAvpQ1WyeJBKpXIBl/tvilPDixNDnxSncHlBUyZpBukxhnMwhJmEI4BLSMMSSU1TNjpHLw7&#10;X2UgRGrVtjuStbPFCf8q3IcWRgT+8HhdN5zSRLlcI+o8kN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K/2SQDbAAAADAEAAA8AAAAAAAAAAQAgAAAAOAAAAGRycy9kb3ducmV2LnhtbFBLAQIUABQA&#10;AAAIAIdO4kBrAOpZSQIAANgFAAAOAAAAAAAAAAEAIAAAAEABAABkcnMvZTJvRG9jLnhtbFBLBQYA&#10;AAAABgAGAFkBAAD7BQAAAAA=&#10;">
              <o:lock v:ext="edit" aspectratio="f"/>
              <v:shape id="Shape 7930" o:spid="_x0000_s1026" o:spt="100" style="position:absolute;left:0;top:0;height:563880;width:9144;" fillcolor="#000000" filled="t" stroked="f" coordsize="9144,563880" o:gfxdata="UEsFBgAAAAAAAAAAAAAAAAAAAAAAAFBLAwQKAAAAAACHTuJAAAAAAAAAAAAAAAAABAAAAGRycy9Q&#10;SwMEFAAAAAgAh07iQO7BN0+4AAAA3QAAAA8AAABkcnMvZG93bnJldi54bWxFT9uKwjAQfV/wH8II&#10;vq2pCq5Wo6CwrCCItw8YmrEtNpPQjLe/Nw/CPh7Ofb58ukbdqY21ZwODfgaKuPC25tLA+fT7PQEV&#10;Bdli45kMvCjCctH5mmNu/YMPdD9KqVIIxxwNVCIh1zoWFTmMfR+IE3fxrUNJsC21bfGRwl2jh1k2&#10;1g5rTg0VBlpXVFyPN2fADmntZH+S1WV7/dutYtAFBmN63UE2AyX0lH/xx72xBn6mo7Q/vUlPQC/e&#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O7BN0+4AAAA3QAAAA8AAAAAAAAAAQAgAAAAOAAAAGRycy9kb3ducmV2LnhtbFBL&#10;AQIUABQAAAAIAIdO4kAzLwWeOwAAADkAAAAQAAAAAAAAAAEAIAAAAB0BAABkcnMvc2hhcGV4bWwu&#10;eG1sUEsFBgAAAAAGAAYAWwEAAMcDAAAAAA==&#10;" path="m0,0l9144,0,9144,563880,0,563880,0,0e">
                <v:fill on="t" focussize="0,0"/>
                <v:stroke on="f" weight="0pt" miterlimit="1" joinstyle="miter"/>
                <v:imagedata o:title=""/>
                <o:lock v:ext="edit" aspectratio="f"/>
              </v:shape>
              <w10:wrap type="square"/>
            </v:group>
          </w:pict>
        </mc:Fallback>
      </mc:AlternateContent>
    </w:r>
    <w:r>
      <w:rPr>
        <w:rFonts w:ascii="Times New Roman" w:hAnsi="Times New Roman" w:eastAsia="Times New Roman" w:cs="Times New Roman"/>
        <w:b/>
        <w:sz w:val="28"/>
      </w:rPr>
      <w:t xml:space="preserve">Lista de lucrări publicate </w:t>
    </w:r>
    <w:r>
      <w:fldChar w:fldCharType="begin"/>
    </w:r>
    <w:r>
      <w:instrText xml:space="preserve"> PAGE   \* MERGEFORMAT </w:instrText>
    </w:r>
    <w:r>
      <w:fldChar w:fldCharType="separate"/>
    </w:r>
    <w:r>
      <w:rPr>
        <w:rFonts w:ascii="Calibri" w:hAnsi="Calibri" w:eastAsia="Calibri" w:cs="Calibri"/>
        <w:sz w:val="22"/>
      </w:rPr>
      <w:t>2</w:t>
    </w:r>
    <w:r>
      <w:rPr>
        <w:rFonts w:ascii="Calibri" w:hAnsi="Calibri" w:eastAsia="Calibri" w:cs="Calibri"/>
        <w:sz w:val="22"/>
      </w:rPr>
      <w:fldChar w:fldCharType="end"/>
    </w:r>
    <w:r>
      <w:rPr>
        <w:rFonts w:ascii="Calibri" w:hAnsi="Calibri" w:eastAsia="Calibri" w:cs="Calibri"/>
        <w:b/>
        <w:sz w:val="22"/>
      </w:rPr>
      <w:t xml:space="preserve"> </w:t>
    </w:r>
  </w:p>
  <w:p>
    <w:pPr>
      <w:spacing w:after="199" w:line="259" w:lineRule="auto"/>
      <w:ind w:left="0" w:right="65" w:firstLine="0"/>
      <w:jc w:val="right"/>
    </w:pPr>
    <w:r>
      <w:rPr>
        <w:rFonts w:ascii="Times New Roman" w:hAnsi="Times New Roman" w:eastAsia="Times New Roman" w:cs="Times New Roman"/>
        <w:i/>
      </w:rPr>
      <w:t xml:space="preserve">Dr. Maghiari Anca Laura </w:t>
    </w:r>
  </w:p>
  <w:p>
    <w:pPr>
      <w:spacing w:after="0" w:line="259" w:lineRule="auto"/>
      <w:ind w:left="0" w:firstLine="0"/>
      <w:jc w:val="left"/>
    </w:pPr>
    <w:r>
      <w:rPr>
        <w:rFonts w:ascii="Calibri" w:hAnsi="Calibri" w:eastAsia="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9" w:line="259" w:lineRule="auto"/>
      <w:ind w:left="0" w:right="-261" w:firstLine="0"/>
      <w:jc w:val="right"/>
    </w:pP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page">
                <wp:posOffset>7165340</wp:posOffset>
              </wp:positionH>
              <wp:positionV relativeFrom="page">
                <wp:posOffset>447675</wp:posOffset>
              </wp:positionV>
              <wp:extent cx="8890" cy="563880"/>
              <wp:effectExtent l="0" t="0" r="0" b="0"/>
              <wp:wrapSquare wrapText="bothSides"/>
              <wp:docPr id="7765" name="Group 7765"/>
              <wp:cNvGraphicFramePr/>
              <a:graphic xmlns:a="http://schemas.openxmlformats.org/drawingml/2006/main">
                <a:graphicData uri="http://schemas.microsoft.com/office/word/2010/wordprocessingGroup">
                  <wpg:wgp>
                    <wpg:cNvGrpSpPr/>
                    <wpg:grpSpPr>
                      <a:xfrm>
                        <a:off x="0" y="0"/>
                        <a:ext cx="9144" cy="563880"/>
                        <a:chOff x="0" y="0"/>
                        <a:chExt cx="9144" cy="563880"/>
                      </a:xfrm>
                    </wpg:grpSpPr>
                    <wps:wsp>
                      <wps:cNvPr id="7926" name="Shape 7926"/>
                      <wps:cNvSpPr/>
                      <wps:spPr>
                        <a:xfrm>
                          <a:off x="0" y="0"/>
                          <a:ext cx="9144" cy="563880"/>
                        </a:xfrm>
                        <a:custGeom>
                          <a:avLst/>
                          <a:gdLst/>
                          <a:ahLst/>
                          <a:cxnLst/>
                          <a:rect l="0" t="0" r="0" b="0"/>
                          <a:pathLst>
                            <a:path w="9144" h="563880">
                              <a:moveTo>
                                <a:pt x="0" y="0"/>
                              </a:moveTo>
                              <a:lnTo>
                                <a:pt x="9144" y="0"/>
                              </a:lnTo>
                              <a:lnTo>
                                <a:pt x="9144" y="563880"/>
                              </a:lnTo>
                              <a:lnTo>
                                <a:pt x="0" y="563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564.2pt;margin-top:35.25pt;height:44.4pt;width:0.7pt;mso-position-horizontal-relative:page;mso-position-vertical-relative:page;mso-wrap-distance-bottom:0pt;mso-wrap-distance-left:9pt;mso-wrap-distance-right:9pt;mso-wrap-distance-top:0pt;z-index:251661312;mso-width-relative:page;mso-height-relative:page;" coordsize="9144,563880" o:gfxdata="UEsFBgAAAAAAAAAAAAAAAAAAAAAAAFBLAwQKAAAAAACHTuJAAAAAAAAAAAAAAAAABAAAAGRycy9Q&#10;SwMEFAAAAAgAh07iQK/2SQDbAAAADAEAAA8AAABkcnMvZG93bnJldi54bWxNj11PwjAUhu9N/A/N&#10;MfFO2g6nMNcRQ9QrQiKYEO7KetgW1nZZywb/3sOV3p0358n7kS8utmUD9qHxToGcCGDoSm8aVyn4&#10;2X4+zYCFqJ3RrXeo4IoBFsX9Xa4z40f3jcMmVoxMXMi0gjrGLuM8lDVaHSa+Q0e/o++tjiT7ipte&#10;j2RuW54I8cKtbhwl1LrDZY3laXO2Cr5GPb5P5cewOh2X1/02Xe9WEpV6fJDiDVjES/yD4VafqkNB&#10;nQ7+7ExgLWmZzJ6JVfAqUmA3QiZzWnOgK51PgRc5/z+i+AVQSwMEFAAAAAgAh07iQKl+eb9IAgAA&#10;2AUAAA4AAABkcnMvZTJvRG9jLnhtbKVU227bMAx9H7B/EPS+OMnaJDWS9GFZ8zJsBdp9gCLLtgDd&#10;IClx8vej6EvSFOuK1Q82LR1SPIcUl/dHrchB+CCtWdHJaEyJMNwW0lQr+vv54cuCkhCZKZiyRqzo&#10;SQR6v/78adm4XExtbVUhPIEgJuSNW9E6RpdnWeC10CyMrBMGNkvrNYvw66us8KyB6Fpl0/F4ljXW&#10;F85bLkKA1U27SbuI/j0BbVlKLjaW77UwsY3qhWIRKIVaukDXmG1ZCh5/lWUQkagVBaYR33AI2Lv0&#10;ztZLlleeuVryLgX2nhSuOGkmDRw6hNqwyMjey1ehtOTeBlvGEbc6a4mgIsBiMr7SZuvt3iGXKm8q&#10;N4gOhbpS/b/D8p+HR09ksaLz+eyWEsM01BwPJrgCAjWuygG39e7JPfpuoWr/Eudj6XX6AhtyRGlP&#10;g7TiGAmHxbvJzQ0lHDZuZ18Xi054XkN1Xvnw+vsbXll/YJbyGtJoHLRjOGsUPqbRU82cQOlD4t5r&#10;dDed9RohgszTCkqCuEGgkAfQ6iPqDDxZzvchboVFkdnhR4ht1xa9xere4kfTmx56/82udywmv5Rj&#10;MknTV6keipT2tD2IZ4uoeFUqSPG8q8wlqq133wcA7Lf7r8NgA+zcFX/FwpV90T7/AGKLDRgwEsn1&#10;sjOQONiX0garZPEglUpkg69235QnB5YmBz6pzuDyAqZM0g1S4wxmYQkzCMeAlhGGpJIaJux0Dt6d&#10;rzIQIrVq2x3J2tnihLcK16GFEYEXHo/rhlOaKJf/iDoP5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r/ZJANsAAAAMAQAADwAAAAAAAAABACAAAAA4AAAAZHJzL2Rvd25yZXYueG1sUEsBAhQAFAAA&#10;AAgAh07iQKl+eb9IAgAA2AUAAA4AAAAAAAAAAQAgAAAAQAEAAGRycy9lMm9Eb2MueG1sUEsFBgAA&#10;AAAGAAYAWQEAAPoFAAAAAA==&#10;">
              <o:lock v:ext="edit" aspectratio="f"/>
              <v:shape id="Shape 7926" o:spid="_x0000_s1026" o:spt="100" style="position:absolute;left:0;top:0;height:563880;width:9144;" fillcolor="#000000" filled="t" stroked="f" coordsize="9144,563880" o:gfxdata="UEsFBgAAAAAAAAAAAAAAAAAAAAAAAFBLAwQKAAAAAACHTuJAAAAAAAAAAAAAAAAABAAAAGRycy9Q&#10;SwMEFAAAAAgAh07iQIu9nH28AAAA3QAAAA8AAABkcnMvZG93bnJldi54bWxFj82KAjEQhO8LvkNo&#10;wduacQ66jkZBQXZBkPXnAZpJOzM46YRJ+/f2RljYY1FVX1Hz5cO16kZdbDwbGA0zUMSltw1XBk7H&#10;zecXqCjIFlvPZOBJEZaL3sccC+vvvKfbQSqVIBwLNFCLhELrWNbkMA59IE7e2XcOJcmu0rbDe4K7&#10;VudZNtYOG04LNQZa11ReDldnwOa0dvJ7lNV5e/nerWLQJQZjBv1RNgMl9JD/8F/7xxqYTPMxvN+k&#10;J6AX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LvZx9vAAAAN0AAAAPAAAAAAAAAAEAIAAAADgAAABkcnMvZG93bnJldi54&#10;bWxQSwECFAAUAAAACACHTuJAMy8FnjsAAAA5AAAAEAAAAAAAAAABACAAAAAhAQAAZHJzL3NoYXBl&#10;eG1sLnhtbFBLBQYAAAAABgAGAFsBAADLAwAAAAA=&#10;" path="m0,0l9144,0,9144,563880,0,563880,0,0e">
                <v:fill on="t" focussize="0,0"/>
                <v:stroke on="f" weight="0pt" miterlimit="1" joinstyle="miter"/>
                <v:imagedata o:title=""/>
                <o:lock v:ext="edit" aspectratio="f"/>
              </v:shape>
              <w10:wrap type="square"/>
            </v:group>
          </w:pict>
        </mc:Fallback>
      </mc:AlternateContent>
    </w:r>
    <w:r>
      <w:rPr>
        <w:rFonts w:ascii="Times New Roman" w:hAnsi="Times New Roman" w:eastAsia="Times New Roman" w:cs="Times New Roman"/>
        <w:b/>
        <w:sz w:val="28"/>
      </w:rPr>
      <w:t xml:space="preserve">Lista de lucrări publicate </w:t>
    </w: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b/>
        <w:sz w:val="22"/>
      </w:rPr>
      <w:t xml:space="preserve"> </w:t>
    </w:r>
  </w:p>
  <w:p>
    <w:pPr>
      <w:spacing w:after="199" w:line="259" w:lineRule="auto"/>
      <w:ind w:left="0" w:right="65" w:firstLine="0"/>
      <w:jc w:val="right"/>
    </w:pPr>
    <w:r>
      <w:rPr>
        <w:rFonts w:ascii="Times New Roman" w:hAnsi="Times New Roman" w:eastAsia="Times New Roman" w:cs="Times New Roman"/>
        <w:i/>
      </w:rPr>
      <w:t xml:space="preserve">Șef Lucrări Dr. Maghiari Anca Laura  </w:t>
    </w:r>
  </w:p>
  <w:p>
    <w:pPr>
      <w:spacing w:after="0" w:line="259" w:lineRule="auto"/>
      <w:ind w:left="0" w:firstLine="0"/>
      <w:jc w:val="left"/>
    </w:pPr>
    <w:r>
      <w:rPr>
        <w:rFonts w:ascii="Calibri" w:hAnsi="Calibri" w:eastAsia="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F2160"/>
    <w:multiLevelType w:val="multilevel"/>
    <w:tmpl w:val="025F2160"/>
    <w:lvl w:ilvl="0" w:tentative="0">
      <w:start w:val="1"/>
      <w:numFmt w:val="decimal"/>
      <w:lvlText w:val="%1."/>
      <w:lvlJc w:val="left"/>
      <w:pPr>
        <w:ind w:left="720" w:hanging="360"/>
      </w:pPr>
      <w:rPr>
        <w:rFonts w:hint="default" w:cs="Arial"/>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322438"/>
    <w:multiLevelType w:val="multilevel"/>
    <w:tmpl w:val="04322438"/>
    <w:lvl w:ilvl="0" w:tentative="0">
      <w:start w:val="1"/>
      <w:numFmt w:val="bullet"/>
      <w:lvlText w:val="-"/>
      <w:lvlJc w:val="left"/>
      <w:pPr>
        <w:ind w:left="708"/>
      </w:pPr>
      <w:rPr>
        <w:rFonts w:ascii="Arial" w:hAnsi="Arial" w:eastAsia="Arial" w:cs="Arial"/>
        <w:b/>
        <w:bCs/>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Arial" w:hAnsi="Arial" w:eastAsia="Arial" w:cs="Arial"/>
        <w:b/>
        <w:bCs/>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Arial" w:hAnsi="Arial" w:eastAsia="Arial" w:cs="Arial"/>
        <w:b/>
        <w:bCs/>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Arial" w:hAnsi="Arial" w:eastAsia="Arial" w:cs="Arial"/>
        <w:b/>
        <w:bCs/>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Arial" w:hAnsi="Arial" w:eastAsia="Arial" w:cs="Arial"/>
        <w:b/>
        <w:bCs/>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Arial" w:hAnsi="Arial" w:eastAsia="Arial" w:cs="Arial"/>
        <w:b/>
        <w:bCs/>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Arial" w:hAnsi="Arial" w:eastAsia="Arial" w:cs="Arial"/>
        <w:b/>
        <w:bCs/>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Arial" w:hAnsi="Arial" w:eastAsia="Arial" w:cs="Arial"/>
        <w:b/>
        <w:bCs/>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Arial" w:hAnsi="Arial" w:eastAsia="Arial" w:cs="Arial"/>
        <w:b/>
        <w:bCs/>
        <w:i w:val="0"/>
        <w:strike w:val="0"/>
        <w:dstrike w:val="0"/>
        <w:color w:val="000000"/>
        <w:sz w:val="24"/>
        <w:szCs w:val="24"/>
        <w:u w:val="none" w:color="000000"/>
        <w:shd w:val="clear" w:color="auto" w:fill="auto"/>
        <w:vertAlign w:val="baseline"/>
      </w:rPr>
    </w:lvl>
  </w:abstractNum>
  <w:abstractNum w:abstractNumId="2">
    <w:nsid w:val="0A271F35"/>
    <w:multiLevelType w:val="multilevel"/>
    <w:tmpl w:val="0A271F35"/>
    <w:lvl w:ilvl="0" w:tentative="0">
      <w:start w:val="1"/>
      <w:numFmt w:val="decimal"/>
      <w:lvlText w:val="%1."/>
      <w:lvlJc w:val="left"/>
      <w:pPr>
        <w:ind w:left="360"/>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Arial" w:hAnsi="Arial" w:eastAsia="Arial" w:cs="Arial"/>
        <w:b w:val="0"/>
        <w:i w:val="0"/>
        <w:strike w:val="0"/>
        <w:dstrike w:val="0"/>
        <w:color w:val="000000"/>
        <w:sz w:val="24"/>
        <w:szCs w:val="24"/>
        <w:u w:val="none" w:color="000000"/>
        <w:shd w:val="clear" w:color="auto" w:fill="auto"/>
        <w:vertAlign w:val="baseline"/>
      </w:rPr>
    </w:lvl>
  </w:abstractNum>
  <w:abstractNum w:abstractNumId="3">
    <w:nsid w:val="0F0036D4"/>
    <w:multiLevelType w:val="multilevel"/>
    <w:tmpl w:val="0F0036D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D587A28"/>
    <w:multiLevelType w:val="multilevel"/>
    <w:tmpl w:val="1D587A28"/>
    <w:lvl w:ilvl="0" w:tentative="0">
      <w:start w:val="1"/>
      <w:numFmt w:val="decimal"/>
      <w:lvlText w:val="%1."/>
      <w:lvlJc w:val="left"/>
      <w:pPr>
        <w:ind w:left="360"/>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Arial" w:hAnsi="Arial" w:eastAsia="Arial" w:cs="Arial"/>
        <w:b w:val="0"/>
        <w:i w:val="0"/>
        <w:strike w:val="0"/>
        <w:dstrike w:val="0"/>
        <w:color w:val="000000"/>
        <w:sz w:val="24"/>
        <w:szCs w:val="24"/>
        <w:u w:val="none" w:color="000000"/>
        <w:shd w:val="clear" w:color="auto" w:fill="auto"/>
        <w:vertAlign w:val="baseline"/>
      </w:rPr>
    </w:lvl>
  </w:abstractNum>
  <w:abstractNum w:abstractNumId="5">
    <w:nsid w:val="1EFA06EC"/>
    <w:multiLevelType w:val="multilevel"/>
    <w:tmpl w:val="1EFA06EC"/>
    <w:lvl w:ilvl="0" w:tentative="0">
      <w:start w:val="1"/>
      <w:numFmt w:val="decimal"/>
      <w:lvlText w:val="%1."/>
      <w:lvlJc w:val="left"/>
      <w:pPr>
        <w:ind w:left="360"/>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Arial" w:hAnsi="Arial" w:eastAsia="Arial" w:cs="Arial"/>
        <w:b w:val="0"/>
        <w:i w:val="0"/>
        <w:strike w:val="0"/>
        <w:dstrike w:val="0"/>
        <w:color w:val="000000"/>
        <w:sz w:val="24"/>
        <w:szCs w:val="24"/>
        <w:u w:val="none" w:color="000000"/>
        <w:shd w:val="clear" w:color="auto" w:fill="auto"/>
        <w:vertAlign w:val="baseline"/>
      </w:rPr>
    </w:lvl>
  </w:abstractNum>
  <w:abstractNum w:abstractNumId="6">
    <w:nsid w:val="225F539D"/>
    <w:multiLevelType w:val="multilevel"/>
    <w:tmpl w:val="225F539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F354D2F"/>
    <w:multiLevelType w:val="multilevel"/>
    <w:tmpl w:val="2F354D2F"/>
    <w:lvl w:ilvl="0" w:tentative="0">
      <w:start w:val="13"/>
      <w:numFmt w:val="decimal"/>
      <w:lvlText w:val="%1."/>
      <w:lvlJc w:val="left"/>
      <w:pPr>
        <w:ind w:left="414"/>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Arial" w:hAnsi="Arial" w:eastAsia="Arial" w:cs="Arial"/>
        <w:b w:val="0"/>
        <w:i w:val="0"/>
        <w:strike w:val="0"/>
        <w:dstrike w:val="0"/>
        <w:color w:val="000000"/>
        <w:sz w:val="24"/>
        <w:szCs w:val="24"/>
        <w:u w:val="none" w:color="000000"/>
        <w:shd w:val="clear" w:color="auto" w:fill="auto"/>
        <w:vertAlign w:val="baseline"/>
      </w:rPr>
    </w:lvl>
  </w:abstractNum>
  <w:abstractNum w:abstractNumId="8">
    <w:nsid w:val="546C6F39"/>
    <w:multiLevelType w:val="multilevel"/>
    <w:tmpl w:val="546C6F39"/>
    <w:lvl w:ilvl="0" w:tentative="0">
      <w:start w:val="1"/>
      <w:numFmt w:val="decimal"/>
      <w:lvlText w:val="%1."/>
      <w:lvlJc w:val="left"/>
      <w:pPr>
        <w:ind w:left="644"/>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364"/>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084"/>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04"/>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524"/>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244"/>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964"/>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684"/>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04"/>
      </w:pPr>
      <w:rPr>
        <w:rFonts w:ascii="Arial" w:hAnsi="Arial" w:eastAsia="Arial" w:cs="Arial"/>
        <w:b w:val="0"/>
        <w:i w:val="0"/>
        <w:strike w:val="0"/>
        <w:dstrike w:val="0"/>
        <w:color w:val="000000"/>
        <w:sz w:val="24"/>
        <w:szCs w:val="24"/>
        <w:u w:val="none" w:color="000000"/>
        <w:shd w:val="clear" w:color="auto" w:fill="auto"/>
        <w:vertAlign w:val="baseline"/>
      </w:rPr>
    </w:lvl>
  </w:abstractNum>
  <w:abstractNum w:abstractNumId="9">
    <w:nsid w:val="770B20F3"/>
    <w:multiLevelType w:val="multilevel"/>
    <w:tmpl w:val="770B20F3"/>
    <w:lvl w:ilvl="0" w:tentative="0">
      <w:start w:val="1"/>
      <w:numFmt w:val="decimal"/>
      <w:lvlText w:val="%1."/>
      <w:lvlJc w:val="left"/>
      <w:pPr>
        <w:ind w:left="443"/>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Arial" w:hAnsi="Arial" w:eastAsia="Arial" w:cs="Arial"/>
        <w:b w:val="0"/>
        <w:i w:val="0"/>
        <w:strike w:val="0"/>
        <w:dstrike w:val="0"/>
        <w:color w:val="000000"/>
        <w:sz w:val="24"/>
        <w:szCs w:val="24"/>
        <w:u w:val="none" w:color="000000"/>
        <w:shd w:val="clear" w:color="auto" w:fill="auto"/>
        <w:vertAlign w:val="baseline"/>
      </w:rPr>
    </w:lvl>
  </w:abstractNum>
  <w:num w:numId="1">
    <w:abstractNumId w:val="3"/>
  </w:num>
  <w:num w:numId="2">
    <w:abstractNumId w:val="0"/>
  </w:num>
  <w:num w:numId="3">
    <w:abstractNumId w:val="6"/>
  </w:num>
  <w:num w:numId="4">
    <w:abstractNumId w:val="2"/>
  </w:num>
  <w:num w:numId="5">
    <w:abstractNumId w:val="9"/>
  </w:num>
  <w:num w:numId="6">
    <w:abstractNumId w:val="7"/>
  </w:num>
  <w:num w:numId="7">
    <w:abstractNumId w:val="4"/>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9DB"/>
    <w:rsid w:val="002100EE"/>
    <w:rsid w:val="00790C89"/>
    <w:rsid w:val="007E0A57"/>
    <w:rsid w:val="009230EE"/>
    <w:rsid w:val="009409DB"/>
    <w:rsid w:val="00F06A9D"/>
    <w:rsid w:val="FF9D29A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6" w:line="269" w:lineRule="auto"/>
      <w:ind w:left="449" w:hanging="449"/>
      <w:jc w:val="both"/>
    </w:pPr>
    <w:rPr>
      <w:rFonts w:ascii="Arial" w:hAnsi="Arial" w:eastAsia="Arial" w:cs="Arial"/>
      <w:color w:val="000000"/>
      <w:kern w:val="2"/>
      <w:sz w:val="24"/>
      <w:szCs w:val="24"/>
      <w:lang w:val="zh-CN" w:eastAsia="en-GB" w:bidi="ar-SA"/>
      <w14:ligatures w14:val="standardContextual"/>
    </w:rPr>
  </w:style>
  <w:style w:type="paragraph" w:styleId="2">
    <w:name w:val="heading 1"/>
    <w:next w:val="1"/>
    <w:link w:val="6"/>
    <w:qFormat/>
    <w:uiPriority w:val="9"/>
    <w:pPr>
      <w:keepNext/>
      <w:keepLines/>
      <w:spacing w:after="206" w:line="269" w:lineRule="auto"/>
      <w:ind w:left="718" w:hanging="10"/>
      <w:outlineLvl w:val="0"/>
    </w:pPr>
    <w:rPr>
      <w:rFonts w:ascii="Arial" w:hAnsi="Arial" w:eastAsia="Arial" w:cs="Arial"/>
      <w:b/>
      <w:color w:val="000000"/>
      <w:kern w:val="2"/>
      <w:sz w:val="24"/>
      <w:szCs w:val="24"/>
      <w:lang w:val="zh-CN" w:eastAsia="en-GB" w:bidi="ar-SA"/>
      <w14:ligatures w14:val="standardContextual"/>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467886" w:themeColor="hyperlink"/>
      <w:u w:val="single"/>
      <w14:textFill>
        <w14:solidFill>
          <w14:schemeClr w14:val="hlink"/>
        </w14:solidFill>
      </w14:textFill>
    </w:rPr>
  </w:style>
  <w:style w:type="character" w:customStyle="1" w:styleId="6">
    <w:name w:val="Heading 1 Char"/>
    <w:link w:val="2"/>
    <w:uiPriority w:val="0"/>
    <w:rPr>
      <w:rFonts w:ascii="Arial" w:hAnsi="Arial" w:eastAsia="Arial" w:cs="Arial"/>
      <w:b/>
      <w:color w:val="000000"/>
      <w:sz w:val="24"/>
    </w:rPr>
  </w:style>
  <w:style w:type="paragraph" w:styleId="7">
    <w:name w:val="List Paragraph"/>
    <w:basedOn w:val="1"/>
    <w:qFormat/>
    <w:uiPriority w:val="99"/>
    <w:pPr>
      <w:ind w:left="720"/>
      <w:contextualSpacing/>
    </w:pPr>
  </w:style>
  <w:style w:type="character" w:customStyle="1" w:styleId="8">
    <w:name w:val="15"/>
    <w:basedOn w:val="3"/>
    <w:uiPriority w:val="0"/>
    <w:rPr>
      <w:rFonts w:hint="default" w:ascii="Calibri" w:hAnsi="Calibri" w:cs="Calibri"/>
      <w:color w:val="0563C1"/>
      <w:u w:val="single"/>
    </w:rPr>
  </w:style>
  <w:style w:type="character" w:customStyle="1" w:styleId="9">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3320</Words>
  <Characters>18928</Characters>
  <Lines>157</Lines>
  <Paragraphs>44</Paragraphs>
  <TotalTime>12</TotalTime>
  <ScaleCrop>false</ScaleCrop>
  <LinksUpToDate>false</LinksUpToDate>
  <CharactersWithSpaces>22204</CharactersWithSpaces>
  <Application>WPS Office_5.3.0.7932_F1E327BC-269C-435d-A152-05C5408002CA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2026-05-29T17:20:00Z</dcterms:created>
  <dc:creator>Ralu M</dc:creator>
  <cp:lastModifiedBy>Raluca Morar</cp:lastModifiedBy>
  <dcterms:modified xsi:type="dcterms:W3CDTF">2026-05-31T13:05:24Z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ies>
</file>