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9D7C7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Lista 10 articole relevante</w:t>
      </w:r>
    </w:p>
    <w:p w14:paraId="36B3F530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/>
          <w:bCs/>
          <w:sz w:val="22"/>
          <w:lang w:val="fr-FR"/>
        </w:rPr>
      </w:pPr>
    </w:p>
    <w:p w14:paraId="0C777DAC">
      <w:pPr>
        <w:pStyle w:val="6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b/>
          <w:bCs/>
          <w:sz w:val="22"/>
          <w:lang w:val="fr-FR"/>
        </w:rPr>
        <w:t>Buliga-Finis, O.N.</w:t>
      </w:r>
      <w:r>
        <w:rPr>
          <w:rFonts w:hint="default" w:ascii="Times New Roman" w:hAnsi="Times New Roman"/>
          <w:sz w:val="22"/>
          <w:lang w:val="fr-FR"/>
        </w:rPr>
        <w:t xml:space="preserve">; Ouatu, A.; Badescu, M.C.; Dima, N.; Tanase, D.M.; Richter, P.; Rezus, C. </w:t>
      </w:r>
      <w:r>
        <w:rPr>
          <w:rFonts w:hint="default" w:ascii="Times New Roman" w:hAnsi="Times New Roman"/>
          <w:sz w:val="22"/>
          <w:lang w:val="en-US"/>
        </w:rPr>
        <w:t xml:space="preserve">3. </w:t>
      </w:r>
      <w:r>
        <w:rPr>
          <w:rFonts w:hint="default" w:ascii="Times New Roman" w:hAnsi="Times New Roman"/>
          <w:sz w:val="22"/>
          <w:lang w:val="fr-FR"/>
        </w:rPr>
        <w:t>Beyond the Cardiorenal Syndrome: Pathophysiological Approaches and Biomarkers for Renal and Cardiac Crosstalk. Diagnostics 2022, 12, 773.</w:t>
      </w:r>
    </w:p>
    <w:p w14:paraId="391714CB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3.3</w:t>
      </w:r>
    </w:p>
    <w:p w14:paraId="60209FCA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fr-FR"/>
        </w:rPr>
        <w:fldChar w:fldCharType="begin"/>
      </w:r>
      <w:r>
        <w:rPr>
          <w:rFonts w:hint="default" w:ascii="Times New Roman" w:hAnsi="Times New Roman"/>
          <w:sz w:val="22"/>
          <w:lang w:val="fr-FR"/>
        </w:rPr>
        <w:instrText xml:space="preserve"> HYPERLINK "https://doi.org/10.3390/diagnostics12040773" </w:instrText>
      </w:r>
      <w:r>
        <w:rPr>
          <w:rFonts w:hint="default" w:ascii="Times New Roman" w:hAnsi="Times New Roman"/>
          <w:sz w:val="22"/>
          <w:lang w:val="fr-FR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fr-FR"/>
        </w:rPr>
        <w:t>https://doi.org/10.3390/diagnostics12040773</w:t>
      </w:r>
      <w:r>
        <w:rPr>
          <w:rFonts w:hint="default" w:ascii="Times New Roman" w:hAnsi="Times New Roman"/>
          <w:sz w:val="22"/>
          <w:lang w:val="fr-FR"/>
        </w:rPr>
        <w:fldChar w:fldCharType="end"/>
      </w:r>
    </w:p>
    <w:p w14:paraId="2C300778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b/>
          <w:bCs/>
          <w:sz w:val="22"/>
          <w:lang w:val="fr-FR"/>
        </w:rPr>
        <w:t>Buliga-Finis, O.N.</w:t>
      </w:r>
      <w:r>
        <w:rPr>
          <w:rFonts w:hint="default" w:ascii="Times New Roman" w:hAnsi="Times New Roman"/>
          <w:sz w:val="22"/>
          <w:lang w:val="fr-FR"/>
        </w:rPr>
        <w:t>; Ouatu, A.; Tanase, D.M.; Gosav, E.M.; Seritean Isac, P.N.; Richter, P.;</w:t>
      </w:r>
      <w:r>
        <w:rPr>
          <w:rFonts w:hint="default" w:ascii="Times New Roman" w:hAnsi="Times New Roman"/>
          <w:sz w:val="22"/>
          <w:lang w:val="en-US"/>
        </w:rPr>
        <w:t xml:space="preserve"> </w:t>
      </w:r>
      <w:r>
        <w:rPr>
          <w:rFonts w:hint="default" w:ascii="Times New Roman" w:hAnsi="Times New Roman"/>
          <w:sz w:val="22"/>
          <w:lang w:val="fr-FR"/>
        </w:rPr>
        <w:t xml:space="preserve">Rezus, C. Managing Anemia: Point of Convergence for Heart Failure and Chronic Kidney Disease? Life 2023, 13, 1311. </w:t>
      </w:r>
    </w:p>
    <w:p w14:paraId="2190D303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3.4</w:t>
      </w:r>
    </w:p>
    <w:p w14:paraId="0AC870FA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fr-FR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fr-FR"/>
        </w:rPr>
        <w:fldChar w:fldCharType="begin"/>
      </w:r>
      <w:r>
        <w:rPr>
          <w:rFonts w:hint="default" w:ascii="Times New Roman" w:hAnsi="Times New Roman"/>
          <w:sz w:val="22"/>
          <w:lang w:val="fr-FR"/>
        </w:rPr>
        <w:instrText xml:space="preserve"> HYPERLINK "https://doi.org/10.3390/life1306131" </w:instrText>
      </w:r>
      <w:r>
        <w:rPr>
          <w:rFonts w:hint="default" w:ascii="Times New Roman" w:hAnsi="Times New Roman"/>
          <w:sz w:val="22"/>
          <w:lang w:val="fr-FR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fr-FR"/>
        </w:rPr>
        <w:t>https://doi.org/10.3390/life1306131</w:t>
      </w:r>
      <w:r>
        <w:rPr>
          <w:rFonts w:hint="default" w:ascii="Times New Roman" w:hAnsi="Times New Roman"/>
          <w:sz w:val="22"/>
          <w:lang w:val="fr-FR"/>
        </w:rPr>
        <w:fldChar w:fldCharType="end"/>
      </w:r>
    </w:p>
    <w:p w14:paraId="7A5B302D">
      <w:pPr>
        <w:pStyle w:val="6"/>
        <w:numPr>
          <w:ilvl w:val="0"/>
          <w:numId w:val="3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b/>
          <w:bCs/>
          <w:sz w:val="22"/>
          <w:lang w:val="en-US"/>
        </w:rPr>
        <w:t>Buliga-Finis, O.N.;</w:t>
      </w:r>
      <w:r>
        <w:rPr>
          <w:rFonts w:hint="default" w:ascii="Times New Roman" w:hAnsi="Times New Roman"/>
          <w:sz w:val="22"/>
          <w:lang w:val="en-US"/>
        </w:rPr>
        <w:t xml:space="preserve"> Ouatu, A.; Tanase, D.M.; Badescu, M.C.; Dima, N.; Gosav, E.M.; Popescu, D.; Rezus, C. The Role of Galectin-3 as a Biomarker in the Cardio–Renal–Metabolic Pathology Axis. J. Clin. Med. 2025, 14, 6071. </w:t>
      </w:r>
    </w:p>
    <w:p w14:paraId="4AB152CD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2.9</w:t>
      </w:r>
    </w:p>
    <w:p w14:paraId="1A1514F4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"https://doi.org/10.3390/jcm1417607"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https://doi.org/10.3390/jcm1417607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6855F83A">
      <w:pPr>
        <w:pStyle w:val="6"/>
        <w:numPr>
          <w:ilvl w:val="0"/>
          <w:numId w:val="4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Tanase, D.M.; Valasciuc, E.; Gosav, E.M.; Ouatu, A.;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</w:t>
      </w:r>
      <w:r>
        <w:rPr>
          <w:rFonts w:hint="default" w:ascii="Times New Roman" w:hAnsi="Times New Roman"/>
          <w:sz w:val="22"/>
          <w:lang w:val="en-US"/>
        </w:rPr>
        <w:t xml:space="preserve">; Floria, M.; Maranduca, M.A.; Serban, I.L. Portrayal of NLRP3 Inflammasome in Atherosclerosis: Current Knowledge and Therapeutic Targets. Int. J. Mol. Sci. 2023, 24, 8162. </w:t>
      </w:r>
    </w:p>
    <w:p w14:paraId="73008C32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4.9</w:t>
      </w:r>
    </w:p>
    <w:p w14:paraId="3AA96765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Link: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"https://doi.org/10.3390/ijms24098162"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https://doi.org/10.3390/ijms24098162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6CBA424E">
      <w:pPr>
        <w:pStyle w:val="6"/>
        <w:numPr>
          <w:ilvl w:val="0"/>
          <w:numId w:val="5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Richter, P.; Cardoneanu, A.; Burlui, A.M.; Macovei, L.A.; Bratoiu, I.;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</w:t>
      </w:r>
      <w:r>
        <w:rPr>
          <w:rFonts w:hint="default" w:ascii="Times New Roman" w:hAnsi="Times New Roman"/>
          <w:sz w:val="22"/>
          <w:lang w:val="en-US"/>
        </w:rPr>
        <w:t>; Rezus, E. Why Do We Need JAK Inhibitors in Systemic Lupus Erythematosus? Int. J. Mol. Sci. 2022, 23, 11788.</w:t>
      </w:r>
    </w:p>
    <w:p w14:paraId="115DDF06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4.9</w:t>
      </w:r>
    </w:p>
    <w:p w14:paraId="6B6C93F6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"https://doi.org/10.3390/ijms231911788"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https://doi.org/10.3390/ijms231911788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75132A63">
      <w:pPr>
        <w:pStyle w:val="6"/>
        <w:numPr>
          <w:ilvl w:val="0"/>
          <w:numId w:val="5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Gosav, E.M.; Tanase, D.M.;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</w:t>
      </w:r>
      <w:r>
        <w:rPr>
          <w:rFonts w:hint="default" w:ascii="Times New Roman" w:hAnsi="Times New Roman"/>
          <w:sz w:val="22"/>
          <w:lang w:val="en-US"/>
        </w:rPr>
        <w:t>; Rezuș, I.-I.; Morariu, P.C.; Floria, M.; Rezus, C. The Prognostic Role of the Neutrophil-to-Lymphocytes Ratio in the Most Frequent Cardiovascular Diseases: An Update. Life 2024, 14, 985.</w:t>
      </w:r>
    </w:p>
    <w:p w14:paraId="34AF6724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3.4</w:t>
      </w:r>
    </w:p>
    <w:p w14:paraId="1D2B710A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"https://doi.org/10.3390/life14080985"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https://doi.org/10.3390/life14080985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2A461C4B">
      <w:pPr>
        <w:pStyle w:val="6"/>
        <w:numPr>
          <w:ilvl w:val="0"/>
          <w:numId w:val="5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Tanase, D.M.; Gosav, E.M.; Petrov, D.; Teodorescu, D.-S.;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</w:t>
      </w:r>
      <w:r>
        <w:rPr>
          <w:rFonts w:hint="default" w:ascii="Times New Roman" w:hAnsi="Times New Roman"/>
          <w:sz w:val="22"/>
          <w:lang w:val="en-US"/>
        </w:rPr>
        <w:t>; Ouatu, A.; Tudorancea, I.; Rezus, E.; Rezus, C. MicroRNAs (miRNAs) in Cardiovascular Complications of Rheumatoid Arthritis (RA): What Is New? Int. J. Mol. Sci. 2022, 23, 5254.</w:t>
      </w:r>
    </w:p>
    <w:p w14:paraId="1150B23D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4.9</w:t>
      </w:r>
    </w:p>
    <w:p w14:paraId="592927B6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"https://doi.org/10.3390/ijms23095254"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https://doi.org/10.3390/ijms23095254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657385CB">
      <w:pPr>
        <w:pStyle w:val="6"/>
        <w:numPr>
          <w:ilvl w:val="0"/>
          <w:numId w:val="5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Gosav, E.M.; Tanase, D.M.;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O.N.;</w:t>
      </w:r>
      <w:r>
        <w:rPr>
          <w:rFonts w:hint="default" w:ascii="Times New Roman" w:hAnsi="Times New Roman"/>
          <w:sz w:val="22"/>
          <w:lang w:val="en-US"/>
        </w:rPr>
        <w:t xml:space="preserve"> Rezuș, I.-I.; Morariu, P.C.; Floria, M.; Rezus, C. The Prognostic Role of the Neutrophil-to-Lymphocytes Ratio in the Most Frequent Cardiovascular Diseases: An Update. Life 2024, 14, 985. </w:t>
      </w:r>
    </w:p>
    <w:p w14:paraId="729A2AE1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3.4</w:t>
      </w:r>
    </w:p>
    <w:p w14:paraId="0BBC413C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"https://doi.org/10.3390/life14080985"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https://doi.org/10.3390/life14080985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70BD6625">
      <w:pPr>
        <w:pStyle w:val="6"/>
        <w:numPr>
          <w:ilvl w:val="0"/>
          <w:numId w:val="5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Richter, P.; Macovei, L.A.; Rezus, C.; Boiculese, V.L.; </w:t>
      </w:r>
      <w:r>
        <w:rPr>
          <w:rFonts w:hint="default" w:ascii="Times New Roman" w:hAnsi="Times New Roman"/>
          <w:b/>
          <w:bCs/>
          <w:sz w:val="22"/>
          <w:lang w:val="en-US"/>
        </w:rPr>
        <w:t>Buliga-Finis, O.N.</w:t>
      </w:r>
      <w:r>
        <w:rPr>
          <w:rFonts w:hint="default" w:ascii="Times New Roman" w:hAnsi="Times New Roman"/>
          <w:sz w:val="22"/>
          <w:lang w:val="en-US"/>
        </w:rPr>
        <w:t>; Rezus, E. IL-10 in Systemic Lupus Erythematosus: Balancing Immunoregulation and Autoimmunity. Int. J. Mol. Sci. 2025, 26, 3290.</w:t>
      </w:r>
    </w:p>
    <w:p w14:paraId="62250874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4.9</w:t>
      </w:r>
    </w:p>
    <w:p w14:paraId="28066C4F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"https://doi.org/10.3390/ijms26073290"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https://doi.org/10.3390/ijms26073290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4EA5C120">
      <w:pPr>
        <w:pStyle w:val="6"/>
        <w:numPr>
          <w:ilvl w:val="0"/>
          <w:numId w:val="5"/>
        </w:numPr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Gosav, E.M.; Tanase, D.M.; Ouatu, A.; Dascalu, C.G.; </w:t>
      </w:r>
      <w:bookmarkStart w:id="0" w:name="_GoBack"/>
      <w:r>
        <w:rPr>
          <w:rFonts w:hint="default" w:ascii="Times New Roman" w:hAnsi="Times New Roman"/>
          <w:b/>
          <w:bCs/>
          <w:sz w:val="22"/>
          <w:lang w:val="en-US"/>
        </w:rPr>
        <w:t>Buliga-Finis, O.N.;</w:t>
      </w:r>
      <w:bookmarkEnd w:id="0"/>
      <w:r>
        <w:rPr>
          <w:rFonts w:hint="default" w:ascii="Times New Roman" w:hAnsi="Times New Roman"/>
          <w:sz w:val="22"/>
          <w:lang w:val="en-US"/>
        </w:rPr>
        <w:t xml:space="preserve"> Popescu, D.; Enache, A.-I.; Dima, N.; Badescu, M.C.; Rezus, C. Association of Inflammatory–Hematological Biomarkers with Hypertension and Related Comorbidities. J. Clin. Med. 2026, 15, 2279.</w:t>
      </w:r>
    </w:p>
    <w:p w14:paraId="1C3A0801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>Factor de impact: 2.9</w:t>
      </w:r>
    </w:p>
    <w:p w14:paraId="3CCDF05F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  <w:r>
        <w:rPr>
          <w:rFonts w:hint="default" w:ascii="Times New Roman" w:hAnsi="Times New Roman"/>
          <w:sz w:val="22"/>
          <w:lang w:val="en-US"/>
        </w:rPr>
        <w:t xml:space="preserve">Link: </w:t>
      </w:r>
      <w:r>
        <w:rPr>
          <w:rFonts w:hint="default" w:ascii="Times New Roman" w:hAnsi="Times New Roman"/>
          <w:sz w:val="22"/>
          <w:lang w:val="en-US"/>
        </w:rPr>
        <w:fldChar w:fldCharType="begin"/>
      </w:r>
      <w:r>
        <w:rPr>
          <w:rFonts w:hint="default" w:ascii="Times New Roman" w:hAnsi="Times New Roman"/>
          <w:sz w:val="22"/>
          <w:lang w:val="en-US"/>
        </w:rPr>
        <w:instrText xml:space="preserve"> HYPERLINK "https://doi.org/10.3390/jcm15062279" </w:instrText>
      </w:r>
      <w:r>
        <w:rPr>
          <w:rFonts w:hint="default" w:ascii="Times New Roman" w:hAnsi="Times New Roman"/>
          <w:sz w:val="22"/>
          <w:lang w:val="en-US"/>
        </w:rPr>
        <w:fldChar w:fldCharType="separate"/>
      </w:r>
      <w:r>
        <w:rPr>
          <w:rStyle w:val="5"/>
          <w:rFonts w:hint="default" w:ascii="Times New Roman" w:hAnsi="Times New Roman"/>
          <w:sz w:val="22"/>
          <w:lang w:val="en-US"/>
        </w:rPr>
        <w:t>https://doi.org/10.3390/jcm15062279</w:t>
      </w:r>
      <w:r>
        <w:rPr>
          <w:rFonts w:hint="default" w:ascii="Times New Roman" w:hAnsi="Times New Roman"/>
          <w:sz w:val="22"/>
          <w:lang w:val="en-US"/>
        </w:rPr>
        <w:fldChar w:fldCharType="end"/>
      </w:r>
    </w:p>
    <w:p w14:paraId="57F96DE6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36A199AE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1781E702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6C3C69FE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00A5535D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4EF539BD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70677184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77572EEA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5123F80B">
      <w:pPr>
        <w:pStyle w:val="6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2"/>
          <w:lang w:val="en-US"/>
        </w:rPr>
      </w:pPr>
    </w:p>
    <w:p w14:paraId="51AEDBA5">
      <w:pPr>
        <w:jc w:val="both"/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1DBD6D"/>
    <w:multiLevelType w:val="singleLevel"/>
    <w:tmpl w:val="BC1DBD6D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D7F7685A"/>
    <w:multiLevelType w:val="singleLevel"/>
    <w:tmpl w:val="D7F7685A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E81CC2CD"/>
    <w:multiLevelType w:val="singleLevel"/>
    <w:tmpl w:val="E81CC2CD"/>
    <w:lvl w:ilvl="0" w:tentative="0">
      <w:start w:val="5"/>
      <w:numFmt w:val="decimal"/>
      <w:suff w:val="space"/>
      <w:lvlText w:val="%1."/>
      <w:lvlJc w:val="left"/>
    </w:lvl>
  </w:abstractNum>
  <w:abstractNum w:abstractNumId="3">
    <w:nsid w:val="1F4CFD27"/>
    <w:multiLevelType w:val="singleLevel"/>
    <w:tmpl w:val="1F4CFD27"/>
    <w:lvl w:ilvl="0" w:tentative="0">
      <w:start w:val="4"/>
      <w:numFmt w:val="decimal"/>
      <w:suff w:val="space"/>
      <w:lvlText w:val="%1."/>
      <w:lvlJc w:val="left"/>
    </w:lvl>
  </w:abstractNum>
  <w:abstractNum w:abstractNumId="4">
    <w:nsid w:val="4AF165EC"/>
    <w:multiLevelType w:val="singleLevel"/>
    <w:tmpl w:val="4AF165EC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06C19"/>
    <w:rsid w:val="05106C19"/>
    <w:rsid w:val="6DC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2026-05-28T20:50:00Z</dcterms:created>
  <dc:creator>Top Profesional MIRB</dc:creator>
  <cp:lastModifiedBy>Top Profesional MIRB</cp:lastModifiedBy>
  <dcterms:modified xsi:type="dcterms:W3CDTF">2026-05-28T23:45:11Z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1142C213953D4A0ABFF1BA5ECD88AA98_11</vt:lpwstr>
  </property>
</Properties>
</file>