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639C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4F5A0EF8" w14:textId="77777777" w:rsidR="00CA559A" w:rsidRDefault="00CA559A" w:rsidP="00CA559A"/>
    <w:p w14:paraId="4CFD1BE1" w14:textId="36D524E5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25237423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5C2B1DAF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1A1B836A" w14:textId="6148A97B" w:rsidR="00CA559A" w:rsidRPr="007A6DFB" w:rsidRDefault="008F0485" w:rsidP="007A6DFB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Style w:val="FontStyle30"/>
          <w:b/>
        </w:rPr>
        <w:t>perioadă nedeterminată</w:t>
      </w:r>
    </w:p>
    <w:p w14:paraId="2C8D46E9" w14:textId="2BF93881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>în domeniul postului</w:t>
      </w:r>
      <w:r w:rsidRPr="00C95675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083EE0">
        <w:rPr>
          <w:rFonts w:ascii="Times New Roman" w:hAnsi="Times New Roman"/>
          <w:sz w:val="22"/>
          <w:lang w:val="pt-BR"/>
        </w:rPr>
        <w:t>/Adeverin</w:t>
      </w:r>
      <w:r w:rsidR="00083EE0">
        <w:rPr>
          <w:rFonts w:ascii="Times New Roman" w:hAnsi="Times New Roman"/>
          <w:sz w:val="22"/>
        </w:rPr>
        <w:t>ței Școala Doctorală</w:t>
      </w:r>
    </w:p>
    <w:p w14:paraId="42E62479" w14:textId="52544528" w:rsidR="00CA559A" w:rsidRPr="00C95675" w:rsidRDefault="00CA559A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r w:rsidRPr="00C95675">
        <w:rPr>
          <w:rFonts w:ascii="Times New Roman" w:hAnsi="Times New Roman"/>
          <w:sz w:val="22"/>
          <w:lang w:val="pt-BR"/>
        </w:rPr>
        <w:t>.....................</w:t>
      </w:r>
      <w:r w:rsidR="007A6DFB">
        <w:rPr>
          <w:rFonts w:ascii="Times New Roman" w:hAnsi="Times New Roman"/>
          <w:sz w:val="22"/>
          <w:lang w:val="pt-BR"/>
        </w:rPr>
        <w:t>DA-atașat la dosar</w:t>
      </w:r>
      <w:r w:rsidRPr="00C95675">
        <w:rPr>
          <w:rFonts w:ascii="Times New Roman" w:hAnsi="Times New Roman"/>
          <w:sz w:val="22"/>
          <w:lang w:val="pt-BR"/>
        </w:rPr>
        <w:t>..............................</w:t>
      </w:r>
      <w:r w:rsidR="00083EE0">
        <w:rPr>
          <w:rFonts w:ascii="Times New Roman" w:hAnsi="Times New Roman"/>
          <w:sz w:val="22"/>
          <w:lang w:val="pt-BR"/>
        </w:rPr>
        <w:t>....................................................</w:t>
      </w:r>
    </w:p>
    <w:p w14:paraId="121208E8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58EC62AE" w14:textId="21C0F9B8" w:rsidR="00CA559A" w:rsidRPr="00E9569E" w:rsidRDefault="00CA559A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>
        <w:rPr>
          <w:rFonts w:ascii="Times New Roman" w:hAnsi="Times New Roman"/>
          <w:color w:val="000000"/>
          <w:sz w:val="22"/>
          <w:lang w:val="fr-FR"/>
        </w:rPr>
        <w:t>……………</w:t>
      </w:r>
      <w:r w:rsidR="007A6DFB" w:rsidRPr="007A6DFB">
        <w:rPr>
          <w:rFonts w:ascii="Times New Roman" w:hAnsi="Times New Roman"/>
          <w:sz w:val="22"/>
          <w:lang w:val="pt-BR"/>
        </w:rPr>
        <w:t xml:space="preserve"> </w:t>
      </w:r>
      <w:r w:rsidR="007A6DFB">
        <w:rPr>
          <w:rFonts w:ascii="Times New Roman" w:hAnsi="Times New Roman"/>
          <w:sz w:val="22"/>
          <w:lang w:val="pt-BR"/>
        </w:rPr>
        <w:t>DA-atașat la dosar</w:t>
      </w:r>
      <w:r w:rsidR="007A6DFB">
        <w:rPr>
          <w:rFonts w:ascii="Times New Roman" w:hAnsi="Times New Roman"/>
          <w:color w:val="000000"/>
          <w:sz w:val="22"/>
          <w:lang w:val="fr-FR"/>
        </w:rPr>
        <w:t xml:space="preserve"> </w:t>
      </w:r>
      <w:r>
        <w:rPr>
          <w:rFonts w:ascii="Times New Roman" w:hAnsi="Times New Roman"/>
          <w:color w:val="000000"/>
          <w:sz w:val="22"/>
          <w:lang w:val="fr-FR"/>
        </w:rPr>
        <w:t>…………………………………………………….</w:t>
      </w:r>
    </w:p>
    <w:p w14:paraId="7F92821A" w14:textId="77777777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proofErr w:type="gramStart"/>
      <w:r>
        <w:rPr>
          <w:rStyle w:val="FontStyle30"/>
        </w:rPr>
        <w:t xml:space="preserve">sau </w:t>
      </w:r>
      <w:r w:rsidRPr="00787BB3">
        <w:rPr>
          <w:rStyle w:val="FontStyle30"/>
        </w:rPr>
        <w:t xml:space="preserve"> alte</w:t>
      </w:r>
      <w:proofErr w:type="gramEnd"/>
      <w:r w:rsidRPr="00787BB3">
        <w:rPr>
          <w:rStyle w:val="FontStyle30"/>
        </w:rPr>
        <w:t xml:space="preserve"> domenii, 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06513676" w14:textId="31B1A106" w:rsidR="007A6DFB" w:rsidRDefault="0017309E" w:rsidP="00083EE0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494C0F14" w14:textId="77777777" w:rsidR="00083EE0" w:rsidRPr="00083EE0" w:rsidRDefault="00083EE0" w:rsidP="00083EE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83EE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Turcu AM,</w:t>
      </w:r>
      <w:r w:rsidRPr="00083EE0">
        <w:rPr>
          <w:rFonts w:ascii="Times New Roman" w:hAnsi="Times New Roman" w:cs="Times New Roman"/>
          <w:color w:val="212121"/>
          <w:shd w:val="clear" w:color="auto" w:fill="FFFFFF"/>
        </w:rPr>
        <w:t xml:space="preserve"> Ilie AC, Ștefăniu R, Țăranu SM, Sandu IA, Alexa-Stratulat T, Pîslaru AI, Alexa ID. The Impact of Heart Rate Variability Monitoring on Preventing Severe Cardiovascular Events. Diagnostics (Basel). 2023 Jul 15;13(14):2382. doi: 10.3390/diagnostics13142382. PMID: 37510126; PMCID: PMC10378206.</w:t>
      </w:r>
    </w:p>
    <w:p w14:paraId="05EB5579" w14:textId="77777777" w:rsidR="00083EE0" w:rsidRPr="00083EE0" w:rsidRDefault="00083EE0" w:rsidP="00083EE0">
      <w:pPr>
        <w:pStyle w:val="ListParagraph"/>
        <w:jc w:val="both"/>
        <w:rPr>
          <w:rStyle w:val="Hyperlink"/>
          <w:rFonts w:ascii="Times New Roman" w:hAnsi="Times New Roman" w:cs="Times New Roman"/>
          <w:b/>
          <w:color w:val="auto"/>
          <w:u w:val="none"/>
        </w:rPr>
      </w:pPr>
      <w:hyperlink r:id="rId12" w:history="1">
        <w:r w:rsidRPr="00083EE0">
          <w:rPr>
            <w:rStyle w:val="Hyperlink"/>
            <w:rFonts w:ascii="Times New Roman" w:hAnsi="Times New Roman" w:cs="Times New Roman"/>
            <w:b/>
            <w:color w:val="B48341" w:themeColor="accent1" w:themeShade="BF"/>
          </w:rPr>
          <w:t>https://pubmed.ncbi.nlm.nih.gov/37510126/</w:t>
        </w:r>
      </w:hyperlink>
    </w:p>
    <w:p w14:paraId="5A49F168" w14:textId="7DDD53F4" w:rsidR="00083EE0" w:rsidRPr="00083EE0" w:rsidRDefault="00083EE0" w:rsidP="00083EE0">
      <w:pPr>
        <w:pStyle w:val="ListParagraph"/>
        <w:jc w:val="both"/>
        <w:rPr>
          <w:rFonts w:ascii="Times New Roman" w:hAnsi="Times New Roman" w:cs="Times New Roman"/>
          <w:b/>
        </w:rPr>
      </w:pPr>
      <w:r w:rsidRPr="00083EE0">
        <w:rPr>
          <w:rStyle w:val="Hyperlink"/>
          <w:rFonts w:ascii="Times New Roman" w:hAnsi="Times New Roman" w:cs="Times New Roman"/>
          <w:b/>
          <w:color w:val="auto"/>
          <w:u w:val="none"/>
        </w:rPr>
        <w:t>IF – 3,6</w:t>
      </w:r>
    </w:p>
    <w:p w14:paraId="61BEF979" w14:textId="77777777" w:rsidR="00083EE0" w:rsidRPr="00083EE0" w:rsidRDefault="00083EE0" w:rsidP="00083EE0">
      <w:pPr>
        <w:pStyle w:val="ListParagraph"/>
        <w:numPr>
          <w:ilvl w:val="0"/>
          <w:numId w:val="5"/>
        </w:numPr>
        <w:spacing w:line="240" w:lineRule="auto"/>
        <w:jc w:val="both"/>
        <w:rPr>
          <w:rStyle w:val="Hyperlink"/>
          <w:rFonts w:ascii="Times New Roman" w:hAnsi="Times New Roman" w:cs="Times New Roman"/>
          <w:b/>
          <w:color w:val="auto"/>
          <w:u w:val="none"/>
        </w:rPr>
      </w:pPr>
      <w:r w:rsidRPr="00083EE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Turcu, A.-M.;</w:t>
      </w:r>
      <w:r w:rsidRPr="00083EE0">
        <w:rPr>
          <w:rFonts w:ascii="Times New Roman" w:hAnsi="Times New Roman" w:cs="Times New Roman"/>
          <w:color w:val="222222"/>
          <w:shd w:val="clear" w:color="auto" w:fill="FFFFFF"/>
        </w:rPr>
        <w:t xml:space="preserve"> Ilie, A.C.; Albișteanu, S.-M.; Grigoraș, G.; Lungu, I.-D.; Ștefăniu, R.; Pîslaru, A.I.; Alexa, I.D. Heart Rate Variability: Marker of the Impact of Cardiovascular Disease on Intrinsic Capacity in Older Adults. J. Clin. Med. </w:t>
      </w:r>
      <w:r w:rsidRPr="00083EE0">
        <w:rPr>
          <w:rFonts w:ascii="Times New Roman" w:hAnsi="Times New Roman" w:cs="Times New Roman"/>
          <w:bCs/>
          <w:color w:val="222222"/>
          <w:shd w:val="clear" w:color="auto" w:fill="FFFFFF"/>
        </w:rPr>
        <w:t>2025</w:t>
      </w:r>
      <w:r w:rsidRPr="00083EE0">
        <w:rPr>
          <w:rFonts w:ascii="Times New Roman" w:hAnsi="Times New Roman" w:cs="Times New Roman"/>
          <w:color w:val="222222"/>
          <w:shd w:val="clear" w:color="auto" w:fill="FFFFFF"/>
        </w:rPr>
        <w:t xml:space="preserve">, 14, 2981. </w:t>
      </w:r>
      <w:r w:rsidRPr="00083EE0">
        <w:rPr>
          <w:rFonts w:ascii="Times New Roman" w:hAnsi="Times New Roman" w:cs="Times New Roman"/>
        </w:rPr>
        <w:fldChar w:fldCharType="begin"/>
      </w:r>
      <w:r w:rsidRPr="00083EE0">
        <w:rPr>
          <w:rFonts w:ascii="Times New Roman" w:hAnsi="Times New Roman" w:cs="Times New Roman"/>
        </w:rPr>
        <w:instrText>HYPERLINK "https://doi.org/10.3390/jcm14092981"</w:instrText>
      </w:r>
      <w:r w:rsidRPr="00083EE0">
        <w:rPr>
          <w:rFonts w:ascii="Times New Roman" w:hAnsi="Times New Roman" w:cs="Times New Roman"/>
        </w:rPr>
      </w:r>
      <w:r w:rsidRPr="00083EE0">
        <w:rPr>
          <w:rFonts w:ascii="Times New Roman" w:hAnsi="Times New Roman" w:cs="Times New Roman"/>
        </w:rPr>
        <w:fldChar w:fldCharType="separate"/>
      </w:r>
      <w:r w:rsidRPr="00083EE0">
        <w:rPr>
          <w:rStyle w:val="Hyperlink"/>
          <w:rFonts w:ascii="Times New Roman" w:hAnsi="Times New Roman" w:cs="Times New Roman"/>
          <w:b/>
          <w:color w:val="B48341" w:themeColor="accent1" w:themeShade="BF"/>
          <w:shd w:val="clear" w:color="auto" w:fill="FFFFFF"/>
        </w:rPr>
        <w:t>https://doi.org/10.3390/jcm14092981</w:t>
      </w:r>
      <w:r w:rsidRPr="00083EE0">
        <w:rPr>
          <w:rFonts w:ascii="Times New Roman" w:hAnsi="Times New Roman" w:cs="Times New Roman"/>
        </w:rPr>
        <w:fldChar w:fldCharType="end"/>
      </w:r>
    </w:p>
    <w:p w14:paraId="3DECBC80" w14:textId="2EEAB4B3" w:rsidR="00083EE0" w:rsidRPr="00083EE0" w:rsidRDefault="00083EE0" w:rsidP="00083EE0">
      <w:pPr>
        <w:pStyle w:val="ListParagraph"/>
        <w:jc w:val="both"/>
        <w:rPr>
          <w:rFonts w:ascii="Times New Roman" w:hAnsi="Times New Roman" w:cs="Times New Roman"/>
          <w:b/>
        </w:rPr>
      </w:pPr>
      <w:r w:rsidRPr="00083EE0">
        <w:rPr>
          <w:rFonts w:ascii="Times New Roman" w:hAnsi="Times New Roman" w:cs="Times New Roman"/>
          <w:b/>
          <w:color w:val="222222"/>
          <w:shd w:val="clear" w:color="auto" w:fill="FFFFFF"/>
        </w:rPr>
        <w:t>IF –</w:t>
      </w:r>
      <w:r w:rsidRPr="00083EE0">
        <w:rPr>
          <w:rFonts w:ascii="Times New Roman" w:hAnsi="Times New Roman" w:cs="Times New Roman"/>
          <w:b/>
        </w:rPr>
        <w:t xml:space="preserve"> 2,9</w:t>
      </w:r>
    </w:p>
    <w:p w14:paraId="25F344F6" w14:textId="77777777" w:rsidR="00CA559A" w:rsidRPr="007A6DFB" w:rsidRDefault="0017309E" w:rsidP="00CA559A">
      <w:pPr>
        <w:spacing w:line="360" w:lineRule="auto"/>
        <w:ind w:left="720"/>
        <w:rPr>
          <w:rFonts w:ascii="Times New Roman" w:hAnsi="Times New Roman" w:cs="Times New Roman"/>
          <w:szCs w:val="20"/>
          <w:lang w:val="fr-FR"/>
        </w:rPr>
      </w:pPr>
      <w:proofErr w:type="spellStart"/>
      <w:r w:rsidRPr="007A6DFB">
        <w:rPr>
          <w:rFonts w:ascii="Times New Roman" w:hAnsi="Times New Roman" w:cs="Times New Roman"/>
          <w:szCs w:val="20"/>
          <w:lang w:val="fr-FR"/>
        </w:rPr>
        <w:t>Lucrări</w:t>
      </w:r>
      <w:proofErr w:type="spellEnd"/>
      <w:r w:rsidRPr="007A6DFB">
        <w:rPr>
          <w:rFonts w:ascii="Times New Roman" w:hAnsi="Times New Roman" w:cs="Times New Roman"/>
          <w:szCs w:val="20"/>
          <w:lang w:val="fr-FR"/>
        </w:rPr>
        <w:t xml:space="preserve"> </w:t>
      </w:r>
      <w:proofErr w:type="spellStart"/>
      <w:r w:rsidRPr="007A6DFB">
        <w:rPr>
          <w:rFonts w:ascii="Times New Roman" w:hAnsi="Times New Roman" w:cs="Times New Roman"/>
          <w:szCs w:val="20"/>
          <w:lang w:val="fr-FR"/>
        </w:rPr>
        <w:t>în</w:t>
      </w:r>
      <w:proofErr w:type="spellEnd"/>
      <w:r w:rsidRPr="007A6DFB">
        <w:rPr>
          <w:rFonts w:ascii="Times New Roman" w:hAnsi="Times New Roman" w:cs="Times New Roman"/>
          <w:szCs w:val="20"/>
          <w:lang w:val="fr-FR"/>
        </w:rPr>
        <w:t xml:space="preserve"> </w:t>
      </w:r>
      <w:proofErr w:type="spellStart"/>
      <w:r w:rsidRPr="007A6DFB">
        <w:rPr>
          <w:rFonts w:ascii="Times New Roman" w:hAnsi="Times New Roman" w:cs="Times New Roman"/>
          <w:szCs w:val="20"/>
          <w:lang w:val="fr-FR"/>
        </w:rPr>
        <w:t>revistă</w:t>
      </w:r>
      <w:proofErr w:type="spellEnd"/>
      <w:r w:rsidR="00CA559A" w:rsidRPr="007A6DFB">
        <w:rPr>
          <w:rFonts w:ascii="Times New Roman" w:hAnsi="Times New Roman" w:cs="Times New Roman"/>
          <w:szCs w:val="20"/>
          <w:lang w:val="fr-FR"/>
        </w:rPr>
        <w:t xml:space="preserve"> </w:t>
      </w:r>
      <w:proofErr w:type="spellStart"/>
      <w:r w:rsidR="00CA559A" w:rsidRPr="007A6DFB">
        <w:rPr>
          <w:rFonts w:ascii="Times New Roman" w:hAnsi="Times New Roman" w:cs="Times New Roman"/>
          <w:szCs w:val="20"/>
          <w:lang w:val="fr-FR"/>
        </w:rPr>
        <w:t>indexată</w:t>
      </w:r>
      <w:proofErr w:type="spellEnd"/>
      <w:r w:rsidR="00CA559A" w:rsidRPr="007A6DFB">
        <w:rPr>
          <w:rFonts w:ascii="Times New Roman" w:hAnsi="Times New Roman" w:cs="Times New Roman"/>
          <w:szCs w:val="20"/>
          <w:lang w:val="fr-FR"/>
        </w:rPr>
        <w:t xml:space="preserve"> BDI</w:t>
      </w:r>
      <w:r w:rsidR="00CA559A" w:rsidRPr="007A6DFB">
        <w:rPr>
          <w:rStyle w:val="FootnoteReference"/>
          <w:rFonts w:ascii="Times New Roman" w:hAnsi="Times New Roman" w:cs="Times New Roman"/>
          <w:szCs w:val="20"/>
          <w:lang w:val="fr-FR"/>
        </w:rPr>
        <w:footnoteReference w:id="3"/>
      </w:r>
    </w:p>
    <w:p w14:paraId="71D548BE" w14:textId="77777777" w:rsidR="00083EE0" w:rsidRPr="00083EE0" w:rsidRDefault="00083EE0" w:rsidP="00083EE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083EE0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Turcu A-M,</w:t>
      </w:r>
      <w:r w:rsidRPr="00083EE0">
        <w:rPr>
          <w:rFonts w:ascii="Times New Roman" w:hAnsi="Times New Roman" w:cs="Times New Roman"/>
          <w:color w:val="222222"/>
          <w:shd w:val="clear" w:color="auto" w:fill="FFFFFF"/>
        </w:rPr>
        <w:t xml:space="preserve"> Ilie A-C, Albișteanu S-M, Grigoraș G, Lungu I-D, Ștefăniu R, Pîslaru A-I, Alexa IA. DETERMINATION OF HEART RATE VARIABILITY, A POSSIBLE MARKER FOR ASSESSING INTRINSIC CAPACITY. The Medical-Surgical Journal. Vol. 129. No 4 (2025). Internal Medicine-Pediatrics.</w:t>
      </w:r>
    </w:p>
    <w:p w14:paraId="1E54A546" w14:textId="77777777" w:rsidR="00083EE0" w:rsidRPr="00083EE0" w:rsidRDefault="00083EE0" w:rsidP="00083EE0">
      <w:pPr>
        <w:pStyle w:val="ListParagraph"/>
        <w:jc w:val="both"/>
        <w:rPr>
          <w:rFonts w:ascii="Times New Roman" w:hAnsi="Times New Roman" w:cs="Times New Roman"/>
          <w:b/>
        </w:rPr>
      </w:pPr>
      <w:hyperlink r:id="rId13" w:history="1">
        <w:r w:rsidRPr="00083EE0">
          <w:rPr>
            <w:rStyle w:val="Hyperlink"/>
            <w:rFonts w:ascii="Times New Roman" w:hAnsi="Times New Roman" w:cs="Times New Roman"/>
            <w:b/>
            <w:color w:val="B48341" w:themeColor="accent1" w:themeShade="BF"/>
          </w:rPr>
          <w:t>https://www.revmedchir.ro/index.php/revmedchir/article/view/3280</w:t>
        </w:r>
      </w:hyperlink>
    </w:p>
    <w:p w14:paraId="305538D6" w14:textId="77777777" w:rsidR="00083EE0" w:rsidRPr="00DB25BA" w:rsidRDefault="00083EE0" w:rsidP="00083EE0">
      <w:pPr>
        <w:pStyle w:val="ListParagraph"/>
        <w:jc w:val="both"/>
        <w:rPr>
          <w:b/>
        </w:rPr>
      </w:pPr>
      <w:r w:rsidRPr="00DB25BA">
        <w:rPr>
          <w:b/>
        </w:rPr>
        <w:t>IF – 0,1</w:t>
      </w:r>
    </w:p>
    <w:p w14:paraId="3A3EA57D" w14:textId="77777777" w:rsidR="007A6DFB" w:rsidRDefault="007A6DFB" w:rsidP="007A6DFB">
      <w:pPr>
        <w:pStyle w:val="ListParagraph"/>
        <w:spacing w:after="200"/>
        <w:ind w:left="0"/>
        <w:jc w:val="both"/>
        <w:rPr>
          <w:rStyle w:val="FontStyle30"/>
          <w:rFonts w:eastAsia="Times New Roman"/>
          <w:lang w:eastAsia="ro-RO"/>
        </w:rPr>
      </w:pPr>
    </w:p>
    <w:p w14:paraId="7BC4C6EC" w14:textId="105F7338" w:rsidR="00346EDC" w:rsidRPr="007A6DFB" w:rsidRDefault="00CA559A" w:rsidP="007A6DFB">
      <w:pPr>
        <w:pStyle w:val="ListParagraph"/>
        <w:spacing w:after="200"/>
        <w:ind w:left="0"/>
        <w:jc w:val="both"/>
        <w:rPr>
          <w:rFonts w:ascii="Times New Roman" w:hAnsi="Times New Roman" w:cs="Times New Roman"/>
          <w:color w:val="000000"/>
          <w:sz w:val="22"/>
        </w:rPr>
      </w:pPr>
      <w:r w:rsidRPr="007A6DFB">
        <w:rPr>
          <w:rStyle w:val="FontStyle30"/>
          <w:rFonts w:eastAsia="Times New Roman"/>
          <w:sz w:val="20"/>
          <w:szCs w:val="20"/>
          <w:lang w:eastAsia="ro-RO"/>
        </w:rPr>
        <w:t xml:space="preserve">Pentru posturile de asistent, altele decât cele din domeniul sănătate, se aplică standardele minimale </w:t>
      </w:r>
      <w:r w:rsidR="003E53DD" w:rsidRPr="007A6DFB">
        <w:rPr>
          <w:rStyle w:val="FontStyle30"/>
          <w:rFonts w:eastAsia="Times New Roman"/>
          <w:sz w:val="20"/>
          <w:szCs w:val="20"/>
          <w:lang w:eastAsia="ro-RO"/>
        </w:rPr>
        <w:t>ale Universității noastre</w:t>
      </w:r>
      <w:r w:rsidRPr="007A6DFB">
        <w:rPr>
          <w:rStyle w:val="FontStyle30"/>
          <w:rFonts w:eastAsia="Times New Roman"/>
          <w:sz w:val="20"/>
          <w:szCs w:val="20"/>
          <w:lang w:eastAsia="ro-RO"/>
        </w:rPr>
        <w:t>, conform</w:t>
      </w:r>
      <w:r w:rsidRPr="0097061F">
        <w:rPr>
          <w:rStyle w:val="FontStyle30"/>
          <w:rFonts w:eastAsia="Times New Roman"/>
          <w:lang w:eastAsia="ro-RO"/>
        </w:rPr>
        <w:t xml:space="preserve"> </w:t>
      </w:r>
      <w:r w:rsidR="003E53DD">
        <w:rPr>
          <w:rStyle w:val="FontStyle30"/>
          <w:rFonts w:eastAsia="Times New Roman"/>
          <w:lang w:eastAsia="ro-RO"/>
        </w:rPr>
        <w:t>legislației în vigoare</w:t>
      </w:r>
      <w:r w:rsidRPr="0097061F">
        <w:rPr>
          <w:rStyle w:val="FontStyle30"/>
          <w:rFonts w:eastAsia="Times New Roman"/>
          <w:lang w:eastAsia="ro-RO"/>
        </w:rPr>
        <w:t>.</w:t>
      </w:r>
      <w:r w:rsidR="004730E5"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47104784" wp14:editId="659D7076">
            <wp:simplePos x="0" y="0"/>
            <wp:positionH relativeFrom="column">
              <wp:posOffset>3596005</wp:posOffset>
            </wp:positionH>
            <wp:positionV relativeFrom="page">
              <wp:posOffset>9067800</wp:posOffset>
            </wp:positionV>
            <wp:extent cx="2310130" cy="562610"/>
            <wp:effectExtent l="0" t="0" r="0" b="889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6EDC" w:rsidRPr="007A6DFB" w:rsidSect="00CA559A">
      <w:footerReference w:type="default" r:id="rId15"/>
      <w:headerReference w:type="first" r:id="rId16"/>
      <w:footerReference w:type="first" r:id="rId17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5FA3" w14:textId="77777777" w:rsidR="00E75910" w:rsidRDefault="00E75910" w:rsidP="003620AC">
      <w:pPr>
        <w:spacing w:line="240" w:lineRule="auto"/>
      </w:pPr>
      <w:r>
        <w:separator/>
      </w:r>
    </w:p>
  </w:endnote>
  <w:endnote w:type="continuationSeparator" w:id="0">
    <w:p w14:paraId="03196CC7" w14:textId="77777777" w:rsidR="00E75910" w:rsidRDefault="00E75910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CE10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F6521DD" wp14:editId="65D12826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22E893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1F6D7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521DD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0022E893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1F6D7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502D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6E7C174" wp14:editId="53F54007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73B68B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4730E5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4730E5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7C174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6573B68B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4730E5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4730E5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02A631ED" wp14:editId="3CD5FB5C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7E186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6753B362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1115B16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A631ED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56B7E186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6753B362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1115B16A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7818BCFB" wp14:editId="6816E1BE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33AD7" w14:textId="77777777" w:rsidR="00E75910" w:rsidRDefault="00E75910" w:rsidP="003620AC">
      <w:pPr>
        <w:spacing w:line="240" w:lineRule="auto"/>
      </w:pPr>
      <w:r>
        <w:separator/>
      </w:r>
    </w:p>
  </w:footnote>
  <w:footnote w:type="continuationSeparator" w:id="0">
    <w:p w14:paraId="49FF8122" w14:textId="77777777" w:rsidR="00E75910" w:rsidRDefault="00E75910" w:rsidP="003620AC">
      <w:pPr>
        <w:spacing w:line="240" w:lineRule="auto"/>
      </w:pPr>
      <w:r>
        <w:continuationSeparator/>
      </w:r>
    </w:p>
  </w:footnote>
  <w:footnote w:id="1">
    <w:p w14:paraId="50DF19E7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19F191A1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636C97BE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70E4" w14:textId="77777777" w:rsidR="00B51FFE" w:rsidRDefault="00B51FFE">
    <w:pPr>
      <w:pStyle w:val="Header"/>
    </w:pPr>
  </w:p>
  <w:p w14:paraId="5E14D004" w14:textId="77777777" w:rsidR="00B51FFE" w:rsidRDefault="00B51FFE">
    <w:pPr>
      <w:pStyle w:val="Header"/>
    </w:pPr>
  </w:p>
  <w:p w14:paraId="5F7D0696" w14:textId="77777777" w:rsidR="00B51FFE" w:rsidRDefault="00B51FFE">
    <w:pPr>
      <w:pStyle w:val="Header"/>
    </w:pPr>
  </w:p>
  <w:p w14:paraId="5A72A03A" w14:textId="77777777" w:rsidR="00B51FFE" w:rsidRDefault="00B51FFE">
    <w:pPr>
      <w:pStyle w:val="Header"/>
    </w:pPr>
  </w:p>
  <w:p w14:paraId="7A79B4F2" w14:textId="77777777" w:rsidR="00B51FFE" w:rsidRDefault="00B51FFE">
    <w:pPr>
      <w:pStyle w:val="Header"/>
    </w:pPr>
  </w:p>
  <w:p w14:paraId="2A1FACFD" w14:textId="77777777" w:rsidR="00B51FFE" w:rsidRDefault="00B51FFE">
    <w:pPr>
      <w:pStyle w:val="Header"/>
    </w:pPr>
  </w:p>
  <w:p w14:paraId="1C3C302B" w14:textId="77777777" w:rsidR="00B51FFE" w:rsidRDefault="00B51FFE">
    <w:pPr>
      <w:pStyle w:val="Header"/>
    </w:pPr>
  </w:p>
  <w:p w14:paraId="4C109552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3FE31C4" wp14:editId="69C7FE9F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2CB987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E31C4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152CB987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38801279" wp14:editId="24517756">
              <wp:simplePos x="0" y="0"/>
              <wp:positionH relativeFrom="page">
                <wp:posOffset>953135</wp:posOffset>
              </wp:positionH>
              <wp:positionV relativeFrom="page">
                <wp:posOffset>1692275</wp:posOffset>
              </wp:positionV>
              <wp:extent cx="6095520" cy="40896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408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53667F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5F8FBE5F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01279" id="Casetă text 2" o:spid="_x0000_s1028" type="#_x0000_t202" style="position:absolute;margin-left:75.05pt;margin-top:133.2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" filled="f" stroked="f" strokeweight=".5pt">
              <v:textbox inset="0,0,0,0">
                <w:txbxContent>
                  <w:p w14:paraId="0953667F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5F8FBE5F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645BEDBD" wp14:editId="35BC6126">
          <wp:simplePos x="0" y="0"/>
          <wp:positionH relativeFrom="page">
            <wp:posOffset>360045</wp:posOffset>
          </wp:positionH>
          <wp:positionV relativeFrom="page">
            <wp:posOffset>900430</wp:posOffset>
          </wp:positionV>
          <wp:extent cx="4102200" cy="612000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D7C4D"/>
    <w:multiLevelType w:val="hybridMultilevel"/>
    <w:tmpl w:val="74206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01839">
    <w:abstractNumId w:val="3"/>
  </w:num>
  <w:num w:numId="2" w16cid:durableId="1452047113">
    <w:abstractNumId w:val="1"/>
  </w:num>
  <w:num w:numId="3" w16cid:durableId="1700399084">
    <w:abstractNumId w:val="0"/>
  </w:num>
  <w:num w:numId="4" w16cid:durableId="273097712">
    <w:abstractNumId w:val="4"/>
  </w:num>
  <w:num w:numId="5" w16cid:durableId="1147749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56B46"/>
    <w:rsid w:val="00083EE0"/>
    <w:rsid w:val="000869D1"/>
    <w:rsid w:val="000B18B3"/>
    <w:rsid w:val="000C6A9B"/>
    <w:rsid w:val="000F57E2"/>
    <w:rsid w:val="000F6B2B"/>
    <w:rsid w:val="00171AC8"/>
    <w:rsid w:val="0017309E"/>
    <w:rsid w:val="00182428"/>
    <w:rsid w:val="001F0F6D"/>
    <w:rsid w:val="001F6D77"/>
    <w:rsid w:val="0021432E"/>
    <w:rsid w:val="0026455B"/>
    <w:rsid w:val="002771B4"/>
    <w:rsid w:val="002C3668"/>
    <w:rsid w:val="002F4C72"/>
    <w:rsid w:val="0034031A"/>
    <w:rsid w:val="00346EDC"/>
    <w:rsid w:val="003542E4"/>
    <w:rsid w:val="00355705"/>
    <w:rsid w:val="00360307"/>
    <w:rsid w:val="003620AC"/>
    <w:rsid w:val="003E53DD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B66A8"/>
    <w:rsid w:val="006F4F52"/>
    <w:rsid w:val="0078171F"/>
    <w:rsid w:val="007A0827"/>
    <w:rsid w:val="007A6DFB"/>
    <w:rsid w:val="008F0485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75910"/>
    <w:rsid w:val="00EA4716"/>
    <w:rsid w:val="00EB5461"/>
    <w:rsid w:val="00F4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EDC50"/>
  <w15:docId w15:val="{49A66EEE-41FF-4112-BC0E-A0410CA5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customStyle="1" w:styleId="ListParagraphChar">
    <w:name w:val="List Paragraph Char"/>
    <w:link w:val="ListParagraph"/>
    <w:uiPriority w:val="34"/>
    <w:rsid w:val="00083EE0"/>
    <w:rPr>
      <w:rFonts w:ascii="Trebuchet MS" w:hAnsi="Trebuchet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revmedchir.ro/index.php/revmedchir/article/view/328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pubmed.ncbi.nlm.nih.gov/37510126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155583-69f9-458b-843e-56574a4bdc09">MACCJ7WAEWV6-772888368-3216</_dlc_DocId>
    <_dlc_DocIdUrl xmlns="4c155583-69f9-458b-843e-56574a4bdc09">
      <Url>https://www.umfiasi.ro/ro/academic/concursuri-didactice/_layouts/15/DocIdRedir.aspx?ID=MACCJ7WAEWV6-772888368-3216</Url>
      <Description>MACCJ7WAEWV6-772888368-3216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01C5AA7AC71479F5D4043C57284C1" ma:contentTypeVersion="3" ma:contentTypeDescription="Creați un document nou." ma:contentTypeScope="" ma:versionID="a8d97be509c6397d31ca22256ff6da68">
  <xsd:schema xmlns:xsd="http://www.w3.org/2001/XMLSchema" xmlns:xs="http://www.w3.org/2001/XMLSchema" xmlns:p="http://schemas.microsoft.com/office/2006/metadata/properties" xmlns:ns1="http://schemas.microsoft.com/sharepoint/v3" xmlns:ns2="4c155583-69f9-458b-843e-56574a4bdc09" targetNamespace="http://schemas.microsoft.com/office/2006/metadata/properties" ma:root="true" ma:fieldsID="7f6e333caea4efd46f1e3648db238cfa" ns1:_="" ns2:_="">
    <xsd:import namespace="http://schemas.microsoft.com/sharepoint/v3"/>
    <xsd:import namespace="4c155583-69f9-458b-843e-56574a4bdc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Programare dată de început" ma:description="Dată începere planificată este o coloană de site creată de caracteristica Publicare. Este utilizată pentru a specifica data și ora la care pagina va apărea prima dată vizitatorilor." ma:hidden="true" ma:internalName="PublishingStartDate">
      <xsd:simpleType>
        <xsd:restriction base="dms:Unknown"/>
      </xsd:simpleType>
    </xsd:element>
    <xsd:element name="PublishingExpirationDate" ma:index="12" nillable="true" ma:displayName="Programare dată de sfârșit" ma:description="Dată finalizare planificată este o coloană de site creată de caracteristica Publicare. Este utilizată pentru a specifica data și ora la care pagina nu se va mai afișa vizitatorilor site-ului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5583-69f9-458b-843e-56574a4bdc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are ID document" ma:description="Valoarea ID-ului de document atribuită acestui element." ma:internalName="_dlc_DocId" ma:readOnly="true">
      <xsd:simpleType>
        <xsd:restriction base="dms:Text"/>
      </xsd:simpleType>
    </xsd:element>
    <xsd:element name="_dlc_DocIdUrl" ma:index="9" nillable="true" ma:displayName="ID document" ma:description="Link permanent la ac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EC1DE-CF7A-4CB3-B288-4D95FAB686B6}">
  <ds:schemaRefs>
    <ds:schemaRef ds:uri="http://schemas.microsoft.com/office/2006/metadata/properties"/>
    <ds:schemaRef ds:uri="http://schemas.microsoft.com/office/infopath/2007/PartnerControls"/>
    <ds:schemaRef ds:uri="4c155583-69f9-458b-843e-56574a4bdc0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5772EDE-2648-4BF7-9BEA-1352E7792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2522B-59BF-48EA-BC86-E91B24BFE7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322A929-5716-41EE-9B28-4449B6C8B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c155583-69f9-458b-843e-56574a4bd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44DC27-F049-4EFE-B6B6-7A22738B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Adina Carmen Ilie</cp:lastModifiedBy>
  <cp:revision>2</cp:revision>
  <cp:lastPrinted>2026-05-21T18:58:00Z</cp:lastPrinted>
  <dcterms:created xsi:type="dcterms:W3CDTF">2026-05-21T19:00:00Z</dcterms:created>
  <dcterms:modified xsi:type="dcterms:W3CDTF">2026-05-21T19:00:00Z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0x010100D3201C5AA7AC71479F5D4043C57284C1</vt:lpwstr>
  </property>
  <property fmtid="{D5CDD505-2E9C-101B-9397-08002B2CF9AE}" pid="3" name="_dlc_DocIdItemGuid">
    <vt:lpwstr>42b9cd7f-c6e5-4301-ba53-ccbc935732eb</vt:lpwstr>
  </property>
</Properties>
</file>