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F5241" w14:textId="792E129E" w:rsidR="000D1C7D" w:rsidRDefault="000D1C7D" w:rsidP="000D1C7D">
      <w:pPr>
        <w:widowControl w:val="0"/>
        <w:spacing w:after="240" w:line="240" w:lineRule="auto"/>
        <w:ind w:left="539" w:hanging="539"/>
        <w:jc w:val="center"/>
        <w:rPr>
          <w:sz w:val="32"/>
          <w:szCs w:val="32"/>
        </w:rPr>
      </w:pPr>
      <w:r w:rsidRPr="000D1C7D">
        <w:rPr>
          <w:sz w:val="32"/>
          <w:szCs w:val="32"/>
        </w:rPr>
        <w:t>Lista de lucrări</w:t>
      </w:r>
    </w:p>
    <w:p w14:paraId="618682F0" w14:textId="77777777" w:rsidR="000D1C7D" w:rsidRDefault="000D1C7D" w:rsidP="000D1C7D">
      <w:pPr>
        <w:widowControl w:val="0"/>
        <w:spacing w:after="240" w:line="240" w:lineRule="auto"/>
        <w:ind w:left="539" w:hanging="539"/>
        <w:jc w:val="center"/>
        <w:rPr>
          <w:sz w:val="32"/>
          <w:szCs w:val="32"/>
        </w:rPr>
      </w:pPr>
    </w:p>
    <w:p w14:paraId="1EC0FF87" w14:textId="77777777" w:rsidR="000D1C7D" w:rsidRPr="000D1C7D" w:rsidRDefault="000D1C7D" w:rsidP="000D1C7D">
      <w:pPr>
        <w:widowControl w:val="0"/>
        <w:spacing w:after="240" w:line="240" w:lineRule="auto"/>
        <w:ind w:left="539" w:hanging="539"/>
        <w:jc w:val="both"/>
        <w:rPr>
          <w:sz w:val="32"/>
          <w:szCs w:val="32"/>
        </w:rPr>
      </w:pPr>
    </w:p>
    <w:p w14:paraId="61C36A98" w14:textId="77777777" w:rsidR="000D1C7D" w:rsidRPr="00445D47" w:rsidRDefault="000D1C7D" w:rsidP="000D1C7D">
      <w:pPr>
        <w:widowControl w:val="0"/>
        <w:numPr>
          <w:ilvl w:val="0"/>
          <w:numId w:val="1"/>
        </w:numPr>
        <w:spacing w:after="240" w:line="240" w:lineRule="auto"/>
        <w:ind w:left="539" w:hanging="539"/>
        <w:jc w:val="both"/>
        <w:rPr>
          <w:rFonts w:ascii="Arial" w:hAnsi="Arial" w:cs="Arial"/>
          <w:sz w:val="22"/>
          <w:szCs w:val="22"/>
          <w:lang w:eastAsia="x-none"/>
        </w:rPr>
      </w:pPr>
      <w:r w:rsidRPr="00445D47">
        <w:rPr>
          <w:rFonts w:ascii="Arial" w:hAnsi="Arial" w:cs="Arial"/>
          <w:sz w:val="22"/>
          <w:szCs w:val="22"/>
          <w:lang w:eastAsia="x-none"/>
        </w:rPr>
        <w:t xml:space="preserve">Ghirlea O.,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Ridichie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A., Voicu M,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Ledeți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A.,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Bîtcan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I., Sbârcea L., Dreavă D.,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Ledeți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I.,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Trandafirescu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C.,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Murariu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M.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Insights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into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the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Thermal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Degradation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Kinetics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of β-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Lactam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Antibiotics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: A Comparative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Study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of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Cefazolin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,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Ceftriaxone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,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and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Meropenem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.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Antibiotics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>, 2026, DOI: 10.3390/antibiotics15060540</w:t>
      </w:r>
    </w:p>
    <w:p w14:paraId="5E492B9D" w14:textId="77777777" w:rsidR="000D1C7D" w:rsidRPr="00445D47" w:rsidRDefault="000D1C7D" w:rsidP="000D1C7D">
      <w:pPr>
        <w:widowControl w:val="0"/>
        <w:numPr>
          <w:ilvl w:val="0"/>
          <w:numId w:val="1"/>
        </w:numPr>
        <w:spacing w:after="240" w:line="240" w:lineRule="auto"/>
        <w:ind w:left="539" w:hanging="539"/>
        <w:jc w:val="both"/>
        <w:rPr>
          <w:rFonts w:ascii="Arial" w:hAnsi="Arial" w:cs="Arial"/>
          <w:sz w:val="22"/>
          <w:szCs w:val="22"/>
          <w:lang w:eastAsia="x-none"/>
        </w:rPr>
      </w:pPr>
      <w:r w:rsidRPr="00445D47">
        <w:rPr>
          <w:rFonts w:ascii="Arial" w:hAnsi="Arial" w:cs="Arial"/>
          <w:sz w:val="22"/>
          <w:szCs w:val="22"/>
          <w:lang w:eastAsia="x-none"/>
        </w:rPr>
        <w:t xml:space="preserve">Ghirlea O.-F., Pașca P.,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Duță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C., Olariu S., Muraru M.-S. Comparative Performance of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Postoperative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Day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3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Biomarkers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for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Predicting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Anastomotic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Leakage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after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Colorectal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Cancer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Surgery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: A retrospective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Cohort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Study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>. Chirurgia, May, 2026, DOI: 10.21614/chirurgia.3327</w:t>
      </w:r>
    </w:p>
    <w:p w14:paraId="5EE5D34A" w14:textId="6431B702" w:rsidR="000D1C7D" w:rsidRPr="00445D47" w:rsidRDefault="000D1C7D" w:rsidP="000D1C7D">
      <w:pPr>
        <w:widowControl w:val="0"/>
        <w:numPr>
          <w:ilvl w:val="0"/>
          <w:numId w:val="1"/>
        </w:numPr>
        <w:spacing w:after="240" w:line="240" w:lineRule="auto"/>
        <w:ind w:left="539" w:hanging="539"/>
        <w:jc w:val="both"/>
        <w:rPr>
          <w:rFonts w:ascii="Arial" w:hAnsi="Arial" w:cs="Arial"/>
          <w:sz w:val="22"/>
          <w:szCs w:val="22"/>
          <w:lang w:eastAsia="x-none"/>
        </w:rPr>
      </w:pPr>
      <w:r w:rsidRPr="00445D47">
        <w:rPr>
          <w:rFonts w:ascii="Arial" w:hAnsi="Arial" w:cs="Arial"/>
          <w:sz w:val="22"/>
          <w:szCs w:val="22"/>
          <w:lang w:eastAsia="x-none"/>
        </w:rPr>
        <w:t xml:space="preserve">Ghirlea O.-F, Olariu S.,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Murariu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M.-S.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Preoperative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Predictors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of Anastomotic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Leak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Following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Digestive Cancer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Surgery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: A Retrospective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Cohort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Study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>. Chirurgia, May, 2026, DOI: 10.21614/chirurgia.3294</w:t>
      </w:r>
    </w:p>
    <w:p w14:paraId="3578754C" w14:textId="6246B891" w:rsidR="000D1C7D" w:rsidRDefault="000D1C7D" w:rsidP="000D1C7D">
      <w:pPr>
        <w:widowControl w:val="0"/>
        <w:numPr>
          <w:ilvl w:val="0"/>
          <w:numId w:val="1"/>
        </w:numPr>
        <w:spacing w:after="240" w:line="240" w:lineRule="auto"/>
        <w:ind w:left="539" w:hanging="539"/>
        <w:jc w:val="both"/>
        <w:rPr>
          <w:rFonts w:ascii="Arial" w:hAnsi="Arial" w:cs="Arial"/>
          <w:sz w:val="22"/>
          <w:szCs w:val="22"/>
          <w:lang w:eastAsia="x-none"/>
        </w:rPr>
      </w:pPr>
      <w:r w:rsidRPr="00445D47">
        <w:rPr>
          <w:rFonts w:ascii="Arial" w:hAnsi="Arial" w:cs="Arial"/>
          <w:sz w:val="22"/>
          <w:szCs w:val="22"/>
          <w:lang w:eastAsia="x-none"/>
        </w:rPr>
        <w:t xml:space="preserve">Munteanu, K., Ghirlea, O., Breban-Schwarzkopf, D., Dănilă, A.-I., Iacob, R.-G., Petrache, I. A., Cozma, G. V., Bordianu, A., &amp; Bolintineanu, S. L. The Great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Saphenous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Vein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Proximal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Part: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Branches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,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Anatomical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Variations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,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and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Their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Implications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for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Clinical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Practice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and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Venous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Reflux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Surgery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. Journal of Cardiovascular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Development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and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445D47">
        <w:rPr>
          <w:rFonts w:ascii="Arial" w:hAnsi="Arial" w:cs="Arial"/>
          <w:sz w:val="22"/>
          <w:szCs w:val="22"/>
          <w:lang w:eastAsia="x-none"/>
        </w:rPr>
        <w:t>Disease</w:t>
      </w:r>
      <w:proofErr w:type="spellEnd"/>
      <w:r w:rsidRPr="00445D47">
        <w:rPr>
          <w:rFonts w:ascii="Arial" w:hAnsi="Arial" w:cs="Arial"/>
          <w:sz w:val="22"/>
          <w:szCs w:val="22"/>
          <w:lang w:eastAsia="x-none"/>
        </w:rPr>
        <w:t>, 2024, 11(8), 242. DOI: 10.3390/jcdd11080242</w:t>
      </w:r>
    </w:p>
    <w:p w14:paraId="71757991" w14:textId="00D2AC4D" w:rsidR="000D1C7D" w:rsidRDefault="000D1C7D" w:rsidP="000D1C7D">
      <w:pPr>
        <w:widowControl w:val="0"/>
        <w:numPr>
          <w:ilvl w:val="0"/>
          <w:numId w:val="1"/>
        </w:numPr>
        <w:spacing w:after="240" w:line="240" w:lineRule="auto"/>
        <w:ind w:left="539" w:hanging="539"/>
        <w:jc w:val="both"/>
        <w:rPr>
          <w:rFonts w:ascii="Arial" w:hAnsi="Arial" w:cs="Arial"/>
          <w:sz w:val="22"/>
          <w:szCs w:val="22"/>
          <w:lang w:eastAsia="x-none"/>
        </w:rPr>
      </w:pP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Ledeti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A;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Pârvanescu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RD;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Ridichie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A;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Vlase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T; Suciu, O; Ghirlea, O;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Murariu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M;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Tomoroga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C; Simu, S;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Ledeti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I;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Trandafirescu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>, CM.</w:t>
      </w:r>
      <w:r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Thermal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and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Kinetic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Analysis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of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Benzimidazole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Derivatives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: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Fenbendazole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Mebendazole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and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Flubendazole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r w:rsidRPr="000D1C7D">
        <w:rPr>
          <w:rFonts w:ascii="Arial" w:hAnsi="Arial" w:cs="Arial"/>
          <w:sz w:val="22"/>
          <w:szCs w:val="22"/>
          <w:lang w:eastAsia="x-none"/>
        </w:rPr>
        <w:t>MOLECULES, 2026, Volum 31, Nr 6, DOI: 10.3390/molecules31061005</w:t>
      </w:r>
    </w:p>
    <w:p w14:paraId="4B284D7E" w14:textId="77777777" w:rsidR="000D1C7D" w:rsidRDefault="000D1C7D" w:rsidP="000D1C7D">
      <w:pPr>
        <w:widowControl w:val="0"/>
        <w:numPr>
          <w:ilvl w:val="0"/>
          <w:numId w:val="1"/>
        </w:numPr>
        <w:spacing w:after="240" w:line="240" w:lineRule="auto"/>
        <w:ind w:left="539" w:hanging="539"/>
        <w:jc w:val="both"/>
        <w:rPr>
          <w:rFonts w:ascii="Arial" w:hAnsi="Arial" w:cs="Arial"/>
          <w:sz w:val="22"/>
          <w:szCs w:val="22"/>
          <w:lang w:eastAsia="x-none"/>
        </w:rPr>
      </w:pP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Segneanu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A.-E.;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Vlase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G.;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Vlase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T; Sicoe, C.-A.;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Ciocalteu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M.-V.;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Herea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D.-D.; Ghirlea, O.-F.;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Grozescu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I.;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Nanescu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>, V.</w:t>
      </w:r>
      <w:r>
        <w:rPr>
          <w:rFonts w:ascii="Arial" w:hAnsi="Arial" w:cs="Arial"/>
          <w:sz w:val="22"/>
          <w:szCs w:val="22"/>
          <w:lang w:eastAsia="x-none"/>
        </w:rPr>
        <w:t xml:space="preserve"> </w:t>
      </w:r>
      <w:r w:rsidRPr="000D1C7D">
        <w:rPr>
          <w:rFonts w:ascii="Arial" w:hAnsi="Arial" w:cs="Arial"/>
          <w:sz w:val="22"/>
          <w:szCs w:val="22"/>
          <w:lang w:eastAsia="x-none"/>
        </w:rPr>
        <w:t>Wild-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Grown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Romanian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Helleborus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purpurascens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Approach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to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Novel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Chitosan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Phyto-Nanocarriers-Metabolite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Profile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and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Antioxidant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Properties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</w:t>
      </w:r>
      <w:r w:rsidRPr="000D1C7D">
        <w:rPr>
          <w:rFonts w:ascii="Arial" w:hAnsi="Arial" w:cs="Arial"/>
          <w:sz w:val="22"/>
          <w:szCs w:val="22"/>
          <w:lang w:eastAsia="x-none"/>
        </w:rPr>
        <w:t>PLANTS-BASEL, 2023,  Volum 12, Nr 19, DOI:10.3390/plants12193479</w:t>
      </w:r>
    </w:p>
    <w:p w14:paraId="3A974024" w14:textId="77777777" w:rsidR="000D1C7D" w:rsidRDefault="000D1C7D" w:rsidP="000D1C7D">
      <w:pPr>
        <w:widowControl w:val="0"/>
        <w:numPr>
          <w:ilvl w:val="0"/>
          <w:numId w:val="1"/>
        </w:numPr>
        <w:spacing w:after="240" w:line="240" w:lineRule="auto"/>
        <w:ind w:left="539" w:hanging="539"/>
        <w:jc w:val="both"/>
        <w:rPr>
          <w:rFonts w:ascii="Arial" w:hAnsi="Arial" w:cs="Arial"/>
          <w:sz w:val="22"/>
          <w:szCs w:val="22"/>
          <w:lang w:eastAsia="x-none"/>
        </w:rPr>
      </w:pPr>
      <w:r w:rsidRPr="000D1C7D">
        <w:rPr>
          <w:rFonts w:ascii="Arial" w:hAnsi="Arial" w:cs="Arial"/>
          <w:sz w:val="22"/>
          <w:szCs w:val="22"/>
          <w:lang w:eastAsia="x-none"/>
        </w:rPr>
        <w:t>Părău A.; Ghirlea O.; Rațiu S.; Dragomir C.; Olariu S.</w:t>
      </w:r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r w:rsidRPr="000D1C7D">
        <w:rPr>
          <w:rFonts w:ascii="Arial" w:hAnsi="Arial" w:cs="Arial"/>
          <w:sz w:val="22"/>
          <w:szCs w:val="22"/>
          <w:lang w:eastAsia="x-none"/>
        </w:rPr>
        <w:t xml:space="preserve">Gastrointestinal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stromal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tumor. A case report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with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over 5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years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follow-up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Annali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Italiani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di Chirurgia, 2022, Nr 11,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pii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>: S2239253X22037021</w:t>
      </w:r>
      <w:r w:rsidRPr="000D1C7D">
        <w:rPr>
          <w:rFonts w:ascii="Arial" w:hAnsi="Arial" w:cs="Arial"/>
          <w:sz w:val="22"/>
          <w:szCs w:val="22"/>
          <w:lang w:eastAsia="x-none"/>
        </w:rPr>
        <w:t>,</w:t>
      </w:r>
      <w:r>
        <w:rPr>
          <w:rFonts w:ascii="Arial" w:hAnsi="Arial" w:cs="Arial"/>
          <w:sz w:val="22"/>
          <w:szCs w:val="22"/>
          <w:lang w:eastAsia="x-none"/>
        </w:rPr>
        <w:t xml:space="preserve"> </w:t>
      </w:r>
      <w:r>
        <w:rPr>
          <w:rFonts w:ascii="Arial" w:hAnsi="Arial" w:cs="Arial"/>
          <w:sz w:val="22"/>
          <w:szCs w:val="22"/>
          <w:lang w:eastAsia="x-none"/>
        </w:rPr>
        <w:tab/>
      </w:r>
      <w:r w:rsidRPr="000D1C7D">
        <w:rPr>
          <w:rFonts w:ascii="Arial" w:hAnsi="Arial" w:cs="Arial"/>
          <w:sz w:val="22"/>
          <w:szCs w:val="22"/>
          <w:lang w:eastAsia="x-none"/>
        </w:rPr>
        <w:t>Online</w:t>
      </w:r>
      <w:r>
        <w:rPr>
          <w:rFonts w:ascii="Arial" w:hAnsi="Arial" w:cs="Arial"/>
          <w:sz w:val="22"/>
          <w:szCs w:val="22"/>
          <w:lang w:eastAsia="x-none"/>
        </w:rPr>
        <w:t xml:space="preserve"> </w:t>
      </w:r>
      <w:r>
        <w:rPr>
          <w:rFonts w:ascii="Arial" w:hAnsi="Arial" w:cs="Arial"/>
          <w:sz w:val="22"/>
          <w:szCs w:val="22"/>
          <w:lang w:eastAsia="x-none"/>
        </w:rPr>
        <w:tab/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Epub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>,</w:t>
      </w:r>
      <w:r>
        <w:rPr>
          <w:rFonts w:ascii="Arial" w:hAnsi="Arial" w:cs="Arial"/>
          <w:sz w:val="22"/>
          <w:szCs w:val="22"/>
          <w:lang w:eastAsia="x-none"/>
        </w:rPr>
        <w:t xml:space="preserve"> </w:t>
      </w:r>
      <w:hyperlink r:id="rId5" w:history="1">
        <w:r w:rsidRPr="00DF4B1B">
          <w:rPr>
            <w:rStyle w:val="Hyperlink"/>
            <w:rFonts w:ascii="Arial" w:hAnsi="Arial" w:cs="Arial"/>
            <w:sz w:val="22"/>
            <w:szCs w:val="22"/>
            <w:lang w:eastAsia="x-none"/>
          </w:rPr>
          <w:t>https://www.annaliitalianidichirurgia.it/journal/AIC/11/July/pii/656</w:t>
        </w:r>
      </w:hyperlink>
    </w:p>
    <w:p w14:paraId="6C7AF382" w14:textId="114ACBF1" w:rsidR="000D1C7D" w:rsidRPr="000D1C7D" w:rsidRDefault="000D1C7D" w:rsidP="000D1C7D">
      <w:pPr>
        <w:widowControl w:val="0"/>
        <w:numPr>
          <w:ilvl w:val="0"/>
          <w:numId w:val="1"/>
        </w:numPr>
        <w:spacing w:after="240" w:line="240" w:lineRule="auto"/>
        <w:ind w:left="539" w:hanging="539"/>
        <w:jc w:val="both"/>
        <w:rPr>
          <w:rFonts w:ascii="Arial" w:hAnsi="Arial" w:cs="Arial"/>
          <w:sz w:val="22"/>
          <w:szCs w:val="22"/>
          <w:lang w:eastAsia="x-none"/>
        </w:rPr>
      </w:pP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Segneanu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A.-E.; Marin, C.-N.; Ghirlea, O.-F.;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Feier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C.-V.-I.; Muntean, C.;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Grozescu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>, I.</w:t>
      </w:r>
      <w:r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Artemisia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annua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Growing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Wild in Romania-A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Metabolite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Profile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Approach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to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Target a Drug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Delivery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System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Based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 on Magnetite </w:t>
      </w:r>
      <w:proofErr w:type="spellStart"/>
      <w:r w:rsidRPr="000D1C7D">
        <w:rPr>
          <w:rFonts w:ascii="Arial" w:hAnsi="Arial" w:cs="Arial"/>
          <w:sz w:val="22"/>
          <w:szCs w:val="22"/>
          <w:lang w:eastAsia="x-none"/>
        </w:rPr>
        <w:t>Nanoparticles</w:t>
      </w:r>
      <w:proofErr w:type="spellEnd"/>
      <w:r w:rsidRPr="000D1C7D">
        <w:rPr>
          <w:rFonts w:ascii="Arial" w:hAnsi="Arial" w:cs="Arial"/>
          <w:sz w:val="22"/>
          <w:szCs w:val="22"/>
          <w:lang w:eastAsia="x-none"/>
        </w:rPr>
        <w:t xml:space="preserve">, </w:t>
      </w:r>
      <w:r w:rsidRPr="000D1C7D">
        <w:rPr>
          <w:rFonts w:ascii="Arial" w:hAnsi="Arial" w:cs="Arial"/>
          <w:sz w:val="22"/>
          <w:szCs w:val="22"/>
          <w:lang w:eastAsia="x-none"/>
        </w:rPr>
        <w:t>PLANTS-BASEL, 2021, Volum 10, Nr 11,</w:t>
      </w:r>
      <w:r w:rsidRPr="000D1C7D">
        <w:rPr>
          <w:rFonts w:ascii="Arial" w:hAnsi="Arial" w:cs="Arial"/>
          <w:sz w:val="22"/>
          <w:szCs w:val="22"/>
          <w:lang w:eastAsia="x-none"/>
        </w:rPr>
        <w:t xml:space="preserve"> </w:t>
      </w:r>
      <w:r w:rsidRPr="000D1C7D">
        <w:rPr>
          <w:rFonts w:ascii="Arial" w:hAnsi="Arial" w:cs="Arial"/>
          <w:sz w:val="22"/>
          <w:szCs w:val="22"/>
          <w:lang w:eastAsia="x-none"/>
        </w:rPr>
        <w:t>DOI:10.3390/plants10112245</w:t>
      </w:r>
    </w:p>
    <w:p w14:paraId="008FDEA1" w14:textId="77777777" w:rsidR="006953C5" w:rsidRDefault="006953C5"/>
    <w:sectPr w:rsidR="006953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849CD"/>
    <w:multiLevelType w:val="hybridMultilevel"/>
    <w:tmpl w:val="23A0341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52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01"/>
    <w:rsid w:val="000D1C7D"/>
    <w:rsid w:val="00105B9A"/>
    <w:rsid w:val="001370EB"/>
    <w:rsid w:val="002100B7"/>
    <w:rsid w:val="005C3B01"/>
    <w:rsid w:val="006953C5"/>
    <w:rsid w:val="00A13467"/>
    <w:rsid w:val="00B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3753"/>
  <w15:chartTrackingRefBased/>
  <w15:docId w15:val="{D2522EED-FD7C-4A0B-BC6D-2DB6729E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C7D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B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B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B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B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B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B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B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B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B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B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B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B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B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B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B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B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B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1C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nnaliitalianidichirurgia.it/journal/AIC/11/July/pii/6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Ghirlea</dc:creator>
  <cp:keywords/>
  <dc:description/>
  <cp:lastModifiedBy>Ovidiu Ghirlea</cp:lastModifiedBy>
  <cp:revision>2</cp:revision>
  <dcterms:created xsi:type="dcterms:W3CDTF">2026-06-09T20:07:00Z</dcterms:created>
  <dcterms:modified xsi:type="dcterms:W3CDTF">2026-06-09T20:13:00Z</dcterms:modified>
</cp:coreProperties>
</file>