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FACCC" w14:textId="55CD15AF" w:rsidR="00973137" w:rsidRPr="00973137" w:rsidRDefault="00973137" w:rsidP="00973137">
      <w:pPr>
        <w:ind w:left="360"/>
        <w:jc w:val="center"/>
        <w:rPr>
          <w:rFonts w:cs="Arial"/>
          <w:b/>
          <w:sz w:val="40"/>
          <w:szCs w:val="40"/>
          <w:lang w:val="ro-RO"/>
        </w:rPr>
      </w:pPr>
      <w:r w:rsidRPr="00973137">
        <w:rPr>
          <w:rFonts w:cs="Arial"/>
          <w:b/>
          <w:sz w:val="40"/>
          <w:szCs w:val="40"/>
        </w:rPr>
        <w:t xml:space="preserve">Lista de </w:t>
      </w:r>
      <w:r w:rsidRPr="00973137">
        <w:rPr>
          <w:rFonts w:cs="Arial"/>
          <w:b/>
          <w:sz w:val="40"/>
          <w:szCs w:val="40"/>
          <w:lang w:val="ro-RO"/>
        </w:rPr>
        <w:t>lucrări</w:t>
      </w:r>
    </w:p>
    <w:p w14:paraId="08846001" w14:textId="77777777" w:rsidR="00973137" w:rsidRDefault="00973137" w:rsidP="00973137">
      <w:pPr>
        <w:ind w:left="360"/>
        <w:jc w:val="both"/>
        <w:rPr>
          <w:rFonts w:cs="Arial"/>
          <w:b/>
          <w:sz w:val="24"/>
          <w:szCs w:val="28"/>
        </w:rPr>
      </w:pPr>
    </w:p>
    <w:p w14:paraId="64E27BFD" w14:textId="77777777" w:rsidR="00973137" w:rsidRDefault="00973137" w:rsidP="00973137">
      <w:pPr>
        <w:ind w:left="360"/>
        <w:jc w:val="both"/>
        <w:rPr>
          <w:rFonts w:cs="Arial"/>
          <w:b/>
          <w:sz w:val="24"/>
          <w:szCs w:val="28"/>
        </w:rPr>
      </w:pPr>
    </w:p>
    <w:p w14:paraId="41DE95F4" w14:textId="77777777" w:rsidR="00973137" w:rsidRDefault="00973137" w:rsidP="00973137">
      <w:pPr>
        <w:ind w:left="360"/>
        <w:jc w:val="both"/>
        <w:rPr>
          <w:rFonts w:cs="Arial"/>
          <w:b/>
          <w:sz w:val="24"/>
          <w:szCs w:val="28"/>
        </w:rPr>
      </w:pPr>
    </w:p>
    <w:p w14:paraId="27A5DECE" w14:textId="3BA4F1D7" w:rsidR="00973137" w:rsidRDefault="00973137" w:rsidP="00973137">
      <w:pPr>
        <w:ind w:left="360"/>
        <w:jc w:val="both"/>
        <w:rPr>
          <w:rFonts w:cs="Arial"/>
          <w:b/>
          <w:sz w:val="24"/>
          <w:szCs w:val="28"/>
        </w:rPr>
      </w:pPr>
      <w:r>
        <w:rPr>
          <w:rFonts w:cs="Arial"/>
          <w:b/>
          <w:sz w:val="24"/>
          <w:szCs w:val="28"/>
        </w:rPr>
        <w:t>Articole in extenso</w:t>
      </w:r>
      <w:r w:rsidRPr="00044574">
        <w:rPr>
          <w:rFonts w:cs="Arial"/>
          <w:b/>
          <w:sz w:val="24"/>
          <w:szCs w:val="28"/>
        </w:rPr>
        <w:t>:</w:t>
      </w:r>
    </w:p>
    <w:p w14:paraId="5E6C232D" w14:textId="77777777" w:rsidR="00973137" w:rsidRPr="00044574" w:rsidRDefault="00973137" w:rsidP="00973137">
      <w:pPr>
        <w:ind w:left="360"/>
        <w:jc w:val="both"/>
        <w:rPr>
          <w:rFonts w:cs="Arial"/>
          <w:b/>
          <w:sz w:val="24"/>
          <w:szCs w:val="28"/>
        </w:rPr>
      </w:pPr>
    </w:p>
    <w:p w14:paraId="21614B58" w14:textId="77777777" w:rsidR="00973137" w:rsidRDefault="00973137" w:rsidP="00973137">
      <w:pPr>
        <w:pStyle w:val="ListParagraph"/>
        <w:numPr>
          <w:ilvl w:val="0"/>
          <w:numId w:val="1"/>
        </w:numPr>
        <w:suppressAutoHyphens w:val="0"/>
        <w:jc w:val="both"/>
        <w:rPr>
          <w:rFonts w:cs="Arial"/>
          <w:bCs/>
          <w:iCs/>
          <w:sz w:val="24"/>
          <w:szCs w:val="28"/>
          <w:lang w:val="ro-RO" w:eastAsia="ro-RO"/>
        </w:rPr>
      </w:pPr>
      <w:r w:rsidRPr="00044574">
        <w:rPr>
          <w:rFonts w:cs="Arial"/>
          <w:bCs/>
          <w:iCs/>
          <w:sz w:val="24"/>
          <w:szCs w:val="28"/>
          <w:lang w:val="ro-RO" w:eastAsia="ro-RO"/>
        </w:rPr>
        <w:t xml:space="preserve">Săftescu S, Munteanu M, Popovici D, </w:t>
      </w:r>
      <w:r w:rsidRPr="00044574">
        <w:rPr>
          <w:rFonts w:cs="Arial"/>
          <w:b/>
          <w:bCs/>
          <w:iCs/>
          <w:sz w:val="24"/>
          <w:szCs w:val="28"/>
          <w:lang w:val="ro-RO" w:eastAsia="ro-RO"/>
        </w:rPr>
        <w:t>Dragomir R</w:t>
      </w:r>
      <w:r w:rsidRPr="00044574">
        <w:rPr>
          <w:rFonts w:cs="Arial"/>
          <w:bCs/>
          <w:iCs/>
          <w:sz w:val="24"/>
          <w:szCs w:val="28"/>
          <w:lang w:val="ro-RO" w:eastAsia="ro-RO"/>
        </w:rPr>
        <w:t xml:space="preserve">, Dărăbuș MD, Negru AG, Negru ȘM. </w:t>
      </w:r>
      <w:r w:rsidRPr="000C1A7B">
        <w:rPr>
          <w:rFonts w:cs="Arial"/>
          <w:bCs/>
          <w:iCs/>
          <w:sz w:val="24"/>
          <w:szCs w:val="28"/>
          <w:lang w:val="ro-RO" w:eastAsia="ro-RO"/>
        </w:rPr>
        <w:t>Anthropometry in the immunotherapy of cutaneous and ocular melanomas.</w:t>
      </w:r>
      <w:r w:rsidRPr="00044574">
        <w:rPr>
          <w:rFonts w:cs="Arial"/>
          <w:bCs/>
          <w:iCs/>
          <w:sz w:val="24"/>
          <w:szCs w:val="28"/>
          <w:lang w:val="ro-RO" w:eastAsia="ro-RO"/>
        </w:rPr>
        <w:t xml:space="preserve"> </w:t>
      </w:r>
      <w:r w:rsidRPr="000C1A7B">
        <w:rPr>
          <w:rFonts w:cs="Arial"/>
          <w:bCs/>
          <w:i/>
          <w:sz w:val="24"/>
          <w:szCs w:val="28"/>
          <w:lang w:val="ro-RO" w:eastAsia="ro-RO"/>
        </w:rPr>
        <w:t xml:space="preserve">Rom J Ophthalmol. </w:t>
      </w:r>
      <w:r w:rsidRPr="00BF4425">
        <w:rPr>
          <w:rFonts w:cs="Arial"/>
          <w:bCs/>
          <w:iCs/>
          <w:sz w:val="24"/>
          <w:szCs w:val="28"/>
          <w:lang w:val="ro-RO" w:eastAsia="ro-RO"/>
        </w:rPr>
        <w:t>2020;64</w:t>
      </w:r>
      <w:r w:rsidRPr="00044574">
        <w:rPr>
          <w:rFonts w:cs="Arial"/>
          <w:bCs/>
          <w:iCs/>
          <w:sz w:val="24"/>
          <w:szCs w:val="28"/>
          <w:lang w:val="ro-RO" w:eastAsia="ro-RO"/>
        </w:rPr>
        <w:t>(2):190-194. PMID: 32685786; PMCID: PMC7339699</w:t>
      </w:r>
    </w:p>
    <w:p w14:paraId="20920A5A" w14:textId="77777777" w:rsidR="00974BA1" w:rsidRPr="00974BA1" w:rsidRDefault="00974BA1" w:rsidP="00974BA1">
      <w:pPr>
        <w:suppressAutoHyphens w:val="0"/>
        <w:jc w:val="both"/>
        <w:rPr>
          <w:rFonts w:cs="Arial"/>
          <w:bCs/>
          <w:iCs/>
          <w:sz w:val="24"/>
          <w:szCs w:val="28"/>
          <w:lang w:val="ro-RO" w:eastAsia="ro-RO"/>
        </w:rPr>
      </w:pPr>
    </w:p>
    <w:p w14:paraId="7722B133" w14:textId="52AB0E28" w:rsidR="00974BA1" w:rsidRPr="00974BA1" w:rsidRDefault="00973137" w:rsidP="00974BA1">
      <w:pPr>
        <w:pStyle w:val="ListParagraph"/>
        <w:numPr>
          <w:ilvl w:val="0"/>
          <w:numId w:val="1"/>
        </w:numPr>
        <w:suppressAutoHyphens w:val="0"/>
        <w:jc w:val="both"/>
        <w:rPr>
          <w:rFonts w:cs="Arial"/>
          <w:bCs/>
          <w:iCs/>
          <w:sz w:val="24"/>
          <w:szCs w:val="28"/>
          <w:lang w:val="ro-RO" w:eastAsia="ro-RO"/>
        </w:rPr>
      </w:pPr>
      <w:r w:rsidRPr="00974BA1">
        <w:rPr>
          <w:rFonts w:cs="Arial"/>
          <w:bCs/>
          <w:iCs/>
          <w:sz w:val="24"/>
          <w:szCs w:val="28"/>
          <w:lang w:val="ro-RO" w:eastAsia="ro-RO"/>
        </w:rPr>
        <w:t xml:space="preserve">Săftescu S, Munteanu M, Popovici D, </w:t>
      </w:r>
      <w:r w:rsidRPr="00974BA1">
        <w:rPr>
          <w:rFonts w:cs="Arial"/>
          <w:b/>
          <w:bCs/>
          <w:iCs/>
          <w:sz w:val="24"/>
          <w:szCs w:val="28"/>
          <w:lang w:val="ro-RO" w:eastAsia="ro-RO"/>
        </w:rPr>
        <w:t>Dragomir R</w:t>
      </w:r>
      <w:r w:rsidRPr="00974BA1">
        <w:rPr>
          <w:rFonts w:cs="Arial"/>
          <w:bCs/>
          <w:iCs/>
          <w:sz w:val="24"/>
          <w:szCs w:val="28"/>
          <w:lang w:val="ro-RO" w:eastAsia="ro-RO"/>
        </w:rPr>
        <w:t xml:space="preserve">, Negru AG, Pac PC, Negru ȘM. Significance of metastatic topography for the immunotherapy of cutaneous and ocular melanomas. </w:t>
      </w:r>
      <w:r w:rsidRPr="00974BA1">
        <w:rPr>
          <w:rFonts w:cs="Arial"/>
          <w:bCs/>
          <w:i/>
          <w:sz w:val="24"/>
          <w:szCs w:val="28"/>
          <w:lang w:val="ro-RO" w:eastAsia="ro-RO"/>
        </w:rPr>
        <w:t xml:space="preserve">Rom J Ophthalmol. </w:t>
      </w:r>
      <w:r w:rsidRPr="00974BA1">
        <w:rPr>
          <w:rFonts w:cs="Arial"/>
          <w:bCs/>
          <w:iCs/>
          <w:sz w:val="24"/>
          <w:szCs w:val="28"/>
          <w:lang w:val="ro-RO" w:eastAsia="ro-RO"/>
        </w:rPr>
        <w:t>2020;64(2):184-189. PMID: 32685785; PMCID: PMC7339698</w:t>
      </w:r>
    </w:p>
    <w:p w14:paraId="2C5FED63" w14:textId="77777777" w:rsidR="00974BA1" w:rsidRPr="00974BA1" w:rsidRDefault="00974BA1" w:rsidP="00974BA1">
      <w:pPr>
        <w:suppressAutoHyphens w:val="0"/>
        <w:jc w:val="both"/>
        <w:rPr>
          <w:rFonts w:cs="Arial"/>
          <w:bCs/>
          <w:iCs/>
          <w:sz w:val="24"/>
          <w:szCs w:val="28"/>
          <w:lang w:val="ro-RO" w:eastAsia="ro-RO"/>
        </w:rPr>
      </w:pPr>
    </w:p>
    <w:p w14:paraId="4F49E3EA" w14:textId="77777777" w:rsidR="00973137" w:rsidRDefault="00973137" w:rsidP="00973137">
      <w:pPr>
        <w:pStyle w:val="ListParagraph"/>
        <w:numPr>
          <w:ilvl w:val="0"/>
          <w:numId w:val="1"/>
        </w:numPr>
        <w:suppressAutoHyphens w:val="0"/>
        <w:jc w:val="both"/>
        <w:rPr>
          <w:rFonts w:cs="Arial"/>
          <w:bCs/>
          <w:iCs/>
          <w:sz w:val="24"/>
          <w:szCs w:val="28"/>
          <w:lang w:val="ro-RO" w:eastAsia="ro-RO"/>
        </w:rPr>
      </w:pPr>
      <w:r w:rsidRPr="00044574">
        <w:rPr>
          <w:rFonts w:cs="Arial"/>
          <w:bCs/>
          <w:iCs/>
          <w:sz w:val="24"/>
          <w:szCs w:val="28"/>
          <w:lang w:val="ro-RO" w:eastAsia="ro-RO"/>
        </w:rPr>
        <w:t xml:space="preserve">Gheorghe AS, Negru ȘM, Nițipir C, Mazilu L, Marinca M, Gafton B, Ciuleanu TE, Schenker M, </w:t>
      </w:r>
      <w:r w:rsidRPr="00044574">
        <w:rPr>
          <w:rFonts w:cs="Arial"/>
          <w:b/>
          <w:bCs/>
          <w:iCs/>
          <w:sz w:val="24"/>
          <w:szCs w:val="28"/>
          <w:lang w:val="ro-RO" w:eastAsia="ro-RO"/>
        </w:rPr>
        <w:t>Dragomir RD</w:t>
      </w:r>
      <w:r w:rsidRPr="00044574">
        <w:rPr>
          <w:rFonts w:cs="Arial"/>
          <w:bCs/>
          <w:iCs/>
          <w:sz w:val="24"/>
          <w:szCs w:val="28"/>
          <w:lang w:val="ro-RO" w:eastAsia="ro-RO"/>
        </w:rPr>
        <w:t xml:space="preserve">, Gheorghe AD, Stovicek O, Bandi-Vasilica M, Preda AC, Mihăilă RI, Zob DL, Kajanto AL, Stănculeanu DL. </w:t>
      </w:r>
      <w:r w:rsidRPr="00CB2F38">
        <w:rPr>
          <w:rFonts w:cs="Arial"/>
          <w:bCs/>
          <w:iCs/>
          <w:sz w:val="24"/>
          <w:szCs w:val="28"/>
          <w:lang w:val="ro-RO" w:eastAsia="ro-RO"/>
        </w:rPr>
        <w:t>Knowledge, attitudes and practices related to COVID-19 outbreak among Romanian adults with cancer: a cross-sectional national survey.</w:t>
      </w:r>
      <w:r>
        <w:t xml:space="preserve"> </w:t>
      </w:r>
      <w:r w:rsidRPr="00CB2F38">
        <w:rPr>
          <w:rFonts w:cs="Arial"/>
          <w:bCs/>
          <w:i/>
          <w:sz w:val="24"/>
          <w:szCs w:val="28"/>
          <w:lang w:val="ro-RO" w:eastAsia="ro-RO"/>
        </w:rPr>
        <w:t xml:space="preserve">ESMO Open. </w:t>
      </w:r>
      <w:r w:rsidRPr="00BF4425">
        <w:rPr>
          <w:rFonts w:cs="Arial"/>
          <w:bCs/>
          <w:iCs/>
          <w:sz w:val="24"/>
          <w:szCs w:val="28"/>
          <w:lang w:val="ro-RO" w:eastAsia="ro-RO"/>
        </w:rPr>
        <w:t>2021 Feb;6</w:t>
      </w:r>
      <w:r w:rsidRPr="00154BD2">
        <w:rPr>
          <w:rFonts w:cs="Arial"/>
          <w:bCs/>
          <w:iCs/>
          <w:sz w:val="24"/>
          <w:szCs w:val="28"/>
          <w:lang w:val="ro-RO" w:eastAsia="ro-RO"/>
        </w:rPr>
        <w:t>(1):100027. doi: 10.1016/j.esmoop.2020.100027. Epub 2020 Dec 2. PMID: 33399089; PMCID: PMC7808020.</w:t>
      </w:r>
      <w:r w:rsidRPr="00044574">
        <w:rPr>
          <w:rFonts w:cs="Arial"/>
          <w:bCs/>
          <w:iCs/>
          <w:sz w:val="24"/>
          <w:szCs w:val="28"/>
          <w:lang w:val="ro-RO" w:eastAsia="ro-RO"/>
        </w:rPr>
        <w:t xml:space="preserve"> </w:t>
      </w:r>
    </w:p>
    <w:p w14:paraId="64E96F53" w14:textId="77777777" w:rsidR="00974BA1" w:rsidRPr="00974BA1" w:rsidRDefault="00974BA1" w:rsidP="00974BA1">
      <w:pPr>
        <w:suppressAutoHyphens w:val="0"/>
        <w:jc w:val="both"/>
        <w:rPr>
          <w:rFonts w:cs="Arial"/>
          <w:bCs/>
          <w:iCs/>
          <w:sz w:val="24"/>
          <w:szCs w:val="28"/>
          <w:lang w:val="ro-RO" w:eastAsia="ro-RO"/>
        </w:rPr>
      </w:pPr>
    </w:p>
    <w:p w14:paraId="0AA3201B" w14:textId="69ADB199" w:rsidR="00974BA1" w:rsidRPr="00974BA1" w:rsidRDefault="00973137" w:rsidP="00974BA1">
      <w:pPr>
        <w:pStyle w:val="ListParagraph"/>
        <w:numPr>
          <w:ilvl w:val="0"/>
          <w:numId w:val="1"/>
        </w:numPr>
        <w:suppressAutoHyphens w:val="0"/>
        <w:jc w:val="both"/>
        <w:rPr>
          <w:rFonts w:cs="Arial"/>
          <w:bCs/>
          <w:iCs/>
          <w:sz w:val="24"/>
          <w:szCs w:val="28"/>
          <w:lang w:val="ro-RO" w:eastAsia="ro-RO"/>
        </w:rPr>
      </w:pPr>
      <w:r w:rsidRPr="00974BA1">
        <w:rPr>
          <w:rFonts w:cs="Arial"/>
          <w:b/>
          <w:bCs/>
          <w:iCs/>
          <w:sz w:val="24"/>
          <w:szCs w:val="28"/>
          <w:lang w:val="ro-RO" w:eastAsia="ro-RO"/>
        </w:rPr>
        <w:t>Dragomir R</w:t>
      </w:r>
      <w:r w:rsidRPr="00974BA1">
        <w:rPr>
          <w:rFonts w:cs="Arial"/>
          <w:bCs/>
          <w:iCs/>
          <w:sz w:val="24"/>
          <w:szCs w:val="28"/>
          <w:lang w:val="ro-RO" w:eastAsia="ro-RO"/>
        </w:rPr>
        <w:t xml:space="preserve">, Gheorghe AS, Negru A, Săftescu S, Popovici D, Schenker M, Lupușoru R, Negru Ș. The role of combining neutrophil-to-lymphocyte ratio and pretreatment body mass index in predicting progression-free survival in patients with non-small cell lung cancer treated with nivolumab. </w:t>
      </w:r>
      <w:r w:rsidRPr="00974BA1">
        <w:rPr>
          <w:rFonts w:cs="Arial"/>
          <w:bCs/>
          <w:i/>
          <w:sz w:val="24"/>
          <w:szCs w:val="28"/>
          <w:lang w:val="ro-RO" w:eastAsia="ro-RO"/>
        </w:rPr>
        <w:t xml:space="preserve">Exp Ther Med. </w:t>
      </w:r>
      <w:r w:rsidRPr="00974BA1">
        <w:rPr>
          <w:rFonts w:cs="Arial"/>
          <w:bCs/>
          <w:iCs/>
          <w:sz w:val="24"/>
          <w:szCs w:val="28"/>
          <w:lang w:val="ro-RO" w:eastAsia="ro-RO"/>
        </w:rPr>
        <w:t xml:space="preserve">2021 May;21(5):526. doi: 10.3892/etm.2021.9958. Epub 2021 Mar 22. PMID: 33815599; PMCID: PMC8014982. </w:t>
      </w:r>
    </w:p>
    <w:p w14:paraId="79AA0588" w14:textId="77777777" w:rsidR="00974BA1" w:rsidRPr="00974BA1" w:rsidRDefault="00974BA1" w:rsidP="00974BA1">
      <w:pPr>
        <w:suppressAutoHyphens w:val="0"/>
        <w:jc w:val="both"/>
        <w:rPr>
          <w:rFonts w:cs="Arial"/>
          <w:bCs/>
          <w:iCs/>
          <w:sz w:val="24"/>
          <w:szCs w:val="28"/>
          <w:lang w:val="ro-RO" w:eastAsia="ro-RO"/>
        </w:rPr>
      </w:pPr>
    </w:p>
    <w:p w14:paraId="43F127BC" w14:textId="77777777" w:rsidR="00973137" w:rsidRDefault="00973137" w:rsidP="00973137">
      <w:pPr>
        <w:pStyle w:val="ListParagraph"/>
        <w:numPr>
          <w:ilvl w:val="0"/>
          <w:numId w:val="1"/>
        </w:numPr>
        <w:suppressAutoHyphens w:val="0"/>
        <w:jc w:val="both"/>
        <w:rPr>
          <w:rFonts w:cs="Arial"/>
          <w:bCs/>
          <w:iCs/>
          <w:sz w:val="24"/>
          <w:szCs w:val="28"/>
          <w:lang w:val="ro-RO" w:eastAsia="ro-RO"/>
        </w:rPr>
      </w:pPr>
      <w:r w:rsidRPr="005B64FD">
        <w:rPr>
          <w:rFonts w:cs="Arial"/>
          <w:bCs/>
          <w:iCs/>
          <w:sz w:val="24"/>
          <w:szCs w:val="28"/>
          <w:lang w:val="ro-RO" w:eastAsia="ro-RO"/>
        </w:rPr>
        <w:t xml:space="preserve">Săftescu S, Negru Ș, Volovăț S, Popovici D, Chercota V, Stanca S, Feier H, Malita D, </w:t>
      </w:r>
      <w:r w:rsidRPr="004C3A34">
        <w:rPr>
          <w:rFonts w:cs="Arial"/>
          <w:b/>
          <w:iCs/>
          <w:sz w:val="24"/>
          <w:szCs w:val="28"/>
          <w:lang w:val="ro-RO" w:eastAsia="ro-RO"/>
        </w:rPr>
        <w:t>Dragomir R</w:t>
      </w:r>
      <w:r w:rsidRPr="005B64FD">
        <w:rPr>
          <w:rFonts w:cs="Arial"/>
          <w:bCs/>
          <w:iCs/>
          <w:sz w:val="24"/>
          <w:szCs w:val="28"/>
          <w:lang w:val="ro-RO" w:eastAsia="ro-RO"/>
        </w:rPr>
        <w:t xml:space="preserve">, Volovăț C. </w:t>
      </w:r>
      <w:r w:rsidRPr="00CB2F38">
        <w:rPr>
          <w:rFonts w:cs="Arial"/>
          <w:bCs/>
          <w:iCs/>
          <w:sz w:val="24"/>
          <w:szCs w:val="28"/>
          <w:lang w:val="ro-RO" w:eastAsia="ro-RO"/>
        </w:rPr>
        <w:t>Predictors of the response to nivolumab immunotherapy in the second or subsequent lines for metastatic non-small cell lung cancers</w:t>
      </w:r>
      <w:r w:rsidRPr="005B64FD">
        <w:rPr>
          <w:rFonts w:cs="Arial"/>
          <w:bCs/>
          <w:iCs/>
          <w:sz w:val="24"/>
          <w:szCs w:val="28"/>
          <w:lang w:val="ro-RO" w:eastAsia="ro-RO"/>
        </w:rPr>
        <w:t xml:space="preserve">. </w:t>
      </w:r>
      <w:r w:rsidRPr="00CB2F38">
        <w:rPr>
          <w:rFonts w:cs="Arial"/>
          <w:bCs/>
          <w:i/>
          <w:sz w:val="24"/>
          <w:szCs w:val="28"/>
          <w:lang w:val="ro-RO" w:eastAsia="ro-RO"/>
        </w:rPr>
        <w:t xml:space="preserve">Exp Ther Med. </w:t>
      </w:r>
      <w:r w:rsidRPr="00BF4425">
        <w:rPr>
          <w:rFonts w:cs="Arial"/>
          <w:bCs/>
          <w:iCs/>
          <w:sz w:val="24"/>
          <w:szCs w:val="28"/>
          <w:lang w:val="ro-RO" w:eastAsia="ro-RO"/>
        </w:rPr>
        <w:t>2021 Jun;21</w:t>
      </w:r>
      <w:r w:rsidRPr="005B64FD">
        <w:rPr>
          <w:rFonts w:cs="Arial"/>
          <w:bCs/>
          <w:iCs/>
          <w:sz w:val="24"/>
          <w:szCs w:val="28"/>
          <w:lang w:val="ro-RO" w:eastAsia="ro-RO"/>
        </w:rPr>
        <w:t>(6):605. doi: 10.3892/etm.2021.10037. Epub 2021 Apr 14. PMID: 33936262; PMCID: PMC8082661.</w:t>
      </w:r>
    </w:p>
    <w:p w14:paraId="5807D124" w14:textId="77777777" w:rsidR="00974BA1" w:rsidRPr="00974BA1" w:rsidRDefault="00974BA1" w:rsidP="00974BA1">
      <w:pPr>
        <w:suppressAutoHyphens w:val="0"/>
        <w:jc w:val="both"/>
        <w:rPr>
          <w:rFonts w:cs="Arial"/>
          <w:bCs/>
          <w:iCs/>
          <w:sz w:val="24"/>
          <w:szCs w:val="28"/>
          <w:lang w:val="ro-RO" w:eastAsia="ro-RO"/>
        </w:rPr>
      </w:pPr>
    </w:p>
    <w:p w14:paraId="49269F78" w14:textId="7C239299" w:rsidR="00974BA1" w:rsidRPr="00974BA1" w:rsidRDefault="00973137" w:rsidP="00974BA1">
      <w:pPr>
        <w:pStyle w:val="ListParagraph"/>
        <w:numPr>
          <w:ilvl w:val="0"/>
          <w:numId w:val="1"/>
        </w:numPr>
        <w:suppressAutoHyphens w:val="0"/>
        <w:jc w:val="both"/>
        <w:rPr>
          <w:rFonts w:cs="Arial"/>
          <w:bCs/>
          <w:iCs/>
          <w:sz w:val="24"/>
          <w:szCs w:val="28"/>
          <w:lang w:val="ro-RO" w:eastAsia="ro-RO"/>
        </w:rPr>
      </w:pPr>
      <w:r w:rsidRPr="00974BA1">
        <w:rPr>
          <w:rFonts w:cs="Arial"/>
          <w:b/>
          <w:iCs/>
          <w:sz w:val="24"/>
          <w:szCs w:val="28"/>
          <w:lang w:val="ro-RO" w:eastAsia="ro-RO"/>
        </w:rPr>
        <w:t>Dragomir R</w:t>
      </w:r>
      <w:r w:rsidRPr="00974BA1">
        <w:rPr>
          <w:rFonts w:cs="Arial"/>
          <w:bCs/>
          <w:iCs/>
          <w:sz w:val="24"/>
          <w:szCs w:val="28"/>
          <w:lang w:val="ro-RO" w:eastAsia="ro-RO"/>
        </w:rPr>
        <w:t xml:space="preserve">, Sas I, Săftescu S, Popovici D, Margan R, Dragomir AS, Stanca H, Mocanu V, Pac C, Negru Ș. Treatment Experience and Predictive Factors Associated with Response in Platinum-Resistant Recurrent Ovarian Cancer: A Retrospective Single-Institution Study. </w:t>
      </w:r>
      <w:r w:rsidRPr="00974BA1">
        <w:rPr>
          <w:rFonts w:cs="Arial"/>
          <w:bCs/>
          <w:i/>
          <w:sz w:val="24"/>
          <w:szCs w:val="28"/>
          <w:lang w:val="ro-RO" w:eastAsia="ro-RO"/>
        </w:rPr>
        <w:t xml:space="preserve">J Clin Med. </w:t>
      </w:r>
      <w:r w:rsidRPr="00974BA1">
        <w:rPr>
          <w:rFonts w:cs="Arial"/>
          <w:bCs/>
          <w:iCs/>
          <w:sz w:val="24"/>
          <w:szCs w:val="28"/>
          <w:lang w:val="ro-RO" w:eastAsia="ro-RO"/>
        </w:rPr>
        <w:t>2021 Aug 15</w:t>
      </w:r>
      <w:r w:rsidRPr="00974BA1">
        <w:rPr>
          <w:rFonts w:cs="Arial"/>
          <w:bCs/>
          <w:i/>
          <w:sz w:val="24"/>
          <w:szCs w:val="28"/>
          <w:lang w:val="ro-RO" w:eastAsia="ro-RO"/>
        </w:rPr>
        <w:t>;</w:t>
      </w:r>
      <w:r w:rsidRPr="00974BA1">
        <w:rPr>
          <w:rFonts w:cs="Arial"/>
          <w:bCs/>
          <w:iCs/>
          <w:sz w:val="24"/>
          <w:szCs w:val="28"/>
          <w:lang w:val="ro-RO" w:eastAsia="ro-RO"/>
        </w:rPr>
        <w:t>10(16):3596. doi: 10.3390/jcm10163596. PMID: 34441892; PMCID: PMC8397105.</w:t>
      </w:r>
    </w:p>
    <w:p w14:paraId="19A77B01" w14:textId="77777777" w:rsidR="00974BA1" w:rsidRPr="00974BA1" w:rsidRDefault="00974BA1" w:rsidP="00974BA1">
      <w:pPr>
        <w:suppressAutoHyphens w:val="0"/>
        <w:jc w:val="both"/>
        <w:rPr>
          <w:rFonts w:cs="Arial"/>
          <w:bCs/>
          <w:iCs/>
          <w:sz w:val="24"/>
          <w:szCs w:val="28"/>
          <w:lang w:val="ro-RO" w:eastAsia="ro-RO"/>
        </w:rPr>
      </w:pPr>
    </w:p>
    <w:p w14:paraId="0C392F4B" w14:textId="23188CF5" w:rsidR="00973137" w:rsidRDefault="00973137" w:rsidP="00973137">
      <w:pPr>
        <w:pStyle w:val="ListParagraph"/>
        <w:numPr>
          <w:ilvl w:val="0"/>
          <w:numId w:val="1"/>
        </w:numPr>
        <w:suppressAutoHyphens w:val="0"/>
        <w:rPr>
          <w:rFonts w:cs="Arial"/>
          <w:bCs/>
          <w:iCs/>
          <w:sz w:val="24"/>
          <w:szCs w:val="28"/>
          <w:lang w:val="ro-RO" w:eastAsia="ro-RO"/>
        </w:rPr>
      </w:pPr>
      <w:r w:rsidRPr="00010642">
        <w:rPr>
          <w:rFonts w:cs="Arial"/>
          <w:bCs/>
          <w:iCs/>
          <w:sz w:val="24"/>
          <w:szCs w:val="28"/>
          <w:lang w:val="ro-RO" w:eastAsia="ro-RO"/>
        </w:rPr>
        <w:t xml:space="preserve">Popovici, D.; Stanisav, C.; Pricop, M.; </w:t>
      </w:r>
      <w:r w:rsidRPr="00010642">
        <w:rPr>
          <w:rFonts w:cs="Arial"/>
          <w:b/>
          <w:iCs/>
          <w:sz w:val="24"/>
          <w:szCs w:val="28"/>
          <w:lang w:val="ro-RO" w:eastAsia="ro-RO"/>
        </w:rPr>
        <w:t>Dragomir, R.</w:t>
      </w:r>
      <w:r w:rsidRPr="00010642">
        <w:rPr>
          <w:rFonts w:cs="Arial"/>
          <w:bCs/>
          <w:iCs/>
          <w:sz w:val="24"/>
          <w:szCs w:val="28"/>
          <w:lang w:val="ro-RO" w:eastAsia="ro-RO"/>
        </w:rPr>
        <w:t xml:space="preserve">; Saftescu, S.; Ciurescu, D. Associations between Body Mass Index and Prostate Cancer: The Impact on Progression-Free Survival. </w:t>
      </w:r>
      <w:r w:rsidRPr="00CB2F38">
        <w:rPr>
          <w:rFonts w:cs="Arial"/>
          <w:bCs/>
          <w:i/>
          <w:sz w:val="24"/>
          <w:szCs w:val="28"/>
          <w:lang w:val="ro-RO" w:eastAsia="ro-RO"/>
        </w:rPr>
        <w:t xml:space="preserve">Medicina </w:t>
      </w:r>
      <w:r w:rsidRPr="00BF4425">
        <w:rPr>
          <w:rFonts w:cs="Arial"/>
          <w:bCs/>
          <w:iCs/>
          <w:sz w:val="24"/>
          <w:szCs w:val="28"/>
          <w:lang w:val="ro-RO" w:eastAsia="ro-RO"/>
        </w:rPr>
        <w:t>2023</w:t>
      </w:r>
      <w:r w:rsidRPr="00CB2F38">
        <w:rPr>
          <w:rFonts w:cs="Arial"/>
          <w:bCs/>
          <w:i/>
          <w:sz w:val="24"/>
          <w:szCs w:val="28"/>
          <w:lang w:val="ro-RO" w:eastAsia="ro-RO"/>
        </w:rPr>
        <w:t>, 59,</w:t>
      </w:r>
      <w:r w:rsidRPr="00010642">
        <w:rPr>
          <w:rFonts w:cs="Arial"/>
          <w:bCs/>
          <w:iCs/>
          <w:sz w:val="24"/>
          <w:szCs w:val="28"/>
          <w:lang w:val="ro-RO" w:eastAsia="ro-RO"/>
        </w:rPr>
        <w:t xml:space="preserve"> 289.</w:t>
      </w:r>
      <w:r>
        <w:rPr>
          <w:rFonts w:cs="Arial"/>
          <w:bCs/>
          <w:iCs/>
          <w:sz w:val="24"/>
          <w:szCs w:val="28"/>
          <w:lang w:val="ro-RO" w:eastAsia="ro-RO"/>
        </w:rPr>
        <w:t xml:space="preserve"> </w:t>
      </w:r>
      <w:r w:rsidR="00974BA1" w:rsidRPr="00F13C11">
        <w:rPr>
          <w:rFonts w:cs="Arial"/>
          <w:bCs/>
          <w:iCs/>
          <w:sz w:val="24"/>
          <w:szCs w:val="28"/>
          <w:lang w:val="ro-RO" w:eastAsia="ro-RO"/>
        </w:rPr>
        <w:t>https://doi.org/10.3390/medicina59020289</w:t>
      </w:r>
      <w:r>
        <w:rPr>
          <w:rFonts w:cs="Arial"/>
          <w:bCs/>
          <w:iCs/>
          <w:sz w:val="24"/>
          <w:szCs w:val="28"/>
          <w:lang w:val="ro-RO" w:eastAsia="ro-RO"/>
        </w:rPr>
        <w:t>.</w:t>
      </w:r>
    </w:p>
    <w:p w14:paraId="479DBF04" w14:textId="77777777" w:rsidR="00974BA1" w:rsidRPr="00974BA1" w:rsidRDefault="00974BA1" w:rsidP="00974BA1">
      <w:pPr>
        <w:suppressAutoHyphens w:val="0"/>
        <w:rPr>
          <w:rFonts w:cs="Arial"/>
          <w:bCs/>
          <w:iCs/>
          <w:sz w:val="24"/>
          <w:szCs w:val="28"/>
          <w:lang w:val="ro-RO" w:eastAsia="ro-RO"/>
        </w:rPr>
      </w:pPr>
    </w:p>
    <w:p w14:paraId="68D963DA" w14:textId="23AB014B" w:rsidR="00974BA1" w:rsidRPr="00A96B93" w:rsidRDefault="00973137" w:rsidP="00974BA1">
      <w:pPr>
        <w:pStyle w:val="ListParagraph"/>
        <w:numPr>
          <w:ilvl w:val="0"/>
          <w:numId w:val="1"/>
        </w:numPr>
        <w:suppressAutoHyphens w:val="0"/>
        <w:rPr>
          <w:rFonts w:cs="Arial"/>
          <w:bCs/>
          <w:iCs/>
          <w:sz w:val="24"/>
          <w:szCs w:val="28"/>
          <w:lang w:val="ro-RO" w:eastAsia="ro-RO"/>
        </w:rPr>
      </w:pPr>
      <w:r w:rsidRPr="00A96B93">
        <w:rPr>
          <w:rFonts w:cs="Arial"/>
          <w:bCs/>
          <w:iCs/>
          <w:sz w:val="24"/>
          <w:szCs w:val="28"/>
          <w:lang w:val="ro-RO" w:eastAsia="ro-RO"/>
        </w:rPr>
        <w:t xml:space="preserve">Popovici D, Stanisav C, Saftescu S, Negru S, </w:t>
      </w:r>
      <w:r w:rsidRPr="00A96B93">
        <w:rPr>
          <w:rFonts w:cs="Arial"/>
          <w:b/>
          <w:iCs/>
          <w:sz w:val="24"/>
          <w:szCs w:val="28"/>
          <w:lang w:val="ro-RO" w:eastAsia="ro-RO"/>
        </w:rPr>
        <w:t>Dragomir R</w:t>
      </w:r>
      <w:r w:rsidRPr="00A96B93">
        <w:rPr>
          <w:rFonts w:cs="Arial"/>
          <w:bCs/>
          <w:iCs/>
          <w:sz w:val="24"/>
          <w:szCs w:val="28"/>
          <w:lang w:val="ro-RO" w:eastAsia="ro-RO"/>
        </w:rPr>
        <w:t xml:space="preserve">, Ciurescu D, Diaconescu R. Exploring the Influence of Age, Gender and Body Mass Index on Colorectal Cancer Location. </w:t>
      </w:r>
      <w:r w:rsidRPr="00A96B93">
        <w:rPr>
          <w:rFonts w:cs="Arial"/>
          <w:bCs/>
          <w:i/>
          <w:sz w:val="24"/>
          <w:szCs w:val="28"/>
          <w:lang w:val="ro-RO" w:eastAsia="ro-RO"/>
        </w:rPr>
        <w:t xml:space="preserve">Medicina. </w:t>
      </w:r>
      <w:r w:rsidRPr="00A96B93">
        <w:rPr>
          <w:rFonts w:cs="Arial"/>
          <w:bCs/>
          <w:iCs/>
          <w:sz w:val="24"/>
          <w:szCs w:val="28"/>
          <w:lang w:val="ro-RO" w:eastAsia="ro-RO"/>
        </w:rPr>
        <w:t>2023</w:t>
      </w:r>
      <w:r w:rsidRPr="00A96B93">
        <w:rPr>
          <w:rFonts w:cs="Arial"/>
          <w:bCs/>
          <w:i/>
          <w:sz w:val="24"/>
          <w:szCs w:val="28"/>
          <w:lang w:val="ro-RO" w:eastAsia="ro-RO"/>
        </w:rPr>
        <w:t>; 59</w:t>
      </w:r>
      <w:r w:rsidRPr="00A96B93">
        <w:rPr>
          <w:rFonts w:cs="Arial"/>
          <w:bCs/>
          <w:iCs/>
          <w:sz w:val="24"/>
          <w:szCs w:val="28"/>
          <w:lang w:val="ro-RO" w:eastAsia="ro-RO"/>
        </w:rPr>
        <w:t xml:space="preserve">(8):1399. </w:t>
      </w:r>
      <w:r w:rsidR="00974BA1" w:rsidRPr="00A96B93">
        <w:rPr>
          <w:rFonts w:cs="Arial"/>
          <w:bCs/>
          <w:iCs/>
          <w:sz w:val="24"/>
          <w:szCs w:val="28"/>
          <w:lang w:val="ro-RO" w:eastAsia="ro-RO"/>
        </w:rPr>
        <w:t>https://doi.org/10.3390/medicina59081399</w:t>
      </w:r>
      <w:r w:rsidRPr="00A96B93">
        <w:rPr>
          <w:rFonts w:cs="Arial"/>
          <w:bCs/>
          <w:iCs/>
          <w:sz w:val="24"/>
          <w:szCs w:val="28"/>
          <w:lang w:val="ro-RO" w:eastAsia="ro-RO"/>
        </w:rPr>
        <w:t>.</w:t>
      </w:r>
    </w:p>
    <w:p w14:paraId="15AAA5CA" w14:textId="77777777" w:rsidR="00974BA1" w:rsidRPr="00974BA1" w:rsidRDefault="00974BA1" w:rsidP="00974BA1">
      <w:pPr>
        <w:suppressAutoHyphens w:val="0"/>
        <w:rPr>
          <w:rFonts w:cs="Arial"/>
          <w:bCs/>
          <w:iCs/>
          <w:sz w:val="24"/>
          <w:szCs w:val="28"/>
          <w:lang w:val="ro-RO" w:eastAsia="ro-RO"/>
        </w:rPr>
      </w:pPr>
    </w:p>
    <w:p w14:paraId="63AEAF62" w14:textId="12426B45" w:rsidR="00973137" w:rsidRDefault="00973137" w:rsidP="00973137">
      <w:pPr>
        <w:pStyle w:val="ListParagraph"/>
        <w:numPr>
          <w:ilvl w:val="0"/>
          <w:numId w:val="1"/>
        </w:numPr>
        <w:suppressAutoHyphens w:val="0"/>
        <w:rPr>
          <w:rFonts w:cs="Arial"/>
          <w:bCs/>
          <w:iCs/>
          <w:sz w:val="24"/>
          <w:szCs w:val="28"/>
          <w:lang w:val="ro-RO" w:eastAsia="ro-RO"/>
        </w:rPr>
      </w:pPr>
      <w:r w:rsidRPr="001044BC">
        <w:rPr>
          <w:rFonts w:cs="Arial"/>
          <w:bCs/>
          <w:iCs/>
          <w:sz w:val="24"/>
          <w:szCs w:val="28"/>
          <w:lang w:val="ro-RO" w:eastAsia="ro-RO"/>
        </w:rPr>
        <w:t xml:space="preserve">Petre, I.; Vernic, C.; Petre, I.; Vlad, C.S.; Sipos, S.I.; Bordianu, A.; Luciana, M.; </w:t>
      </w:r>
      <w:r w:rsidRPr="00534281">
        <w:rPr>
          <w:rFonts w:cs="Arial"/>
          <w:b/>
          <w:iCs/>
          <w:sz w:val="24"/>
          <w:szCs w:val="28"/>
          <w:lang w:val="ro-RO" w:eastAsia="ro-RO"/>
        </w:rPr>
        <w:t>Dragomir, R.D.</w:t>
      </w:r>
      <w:r w:rsidRPr="001044BC">
        <w:rPr>
          <w:rFonts w:cs="Arial"/>
          <w:bCs/>
          <w:iCs/>
          <w:sz w:val="24"/>
          <w:szCs w:val="28"/>
          <w:lang w:val="ro-RO" w:eastAsia="ro-RO"/>
        </w:rPr>
        <w:t xml:space="preserve">; Fizedean, C.M.; Daliborca, C.V. Systematic Review on the Effectiveness and Outcomes of Nivolumab Treatment Schemes in Advanced and Metastatic Cervical Cancer. </w:t>
      </w:r>
      <w:r w:rsidRPr="002C5E42">
        <w:rPr>
          <w:rFonts w:cs="Arial"/>
          <w:bCs/>
          <w:i/>
          <w:sz w:val="24"/>
          <w:szCs w:val="28"/>
          <w:lang w:val="ro-RO" w:eastAsia="ro-RO"/>
        </w:rPr>
        <w:t>Diseases</w:t>
      </w:r>
      <w:r w:rsidRPr="001044BC">
        <w:rPr>
          <w:rFonts w:cs="Arial"/>
          <w:bCs/>
          <w:iCs/>
          <w:sz w:val="24"/>
          <w:szCs w:val="28"/>
          <w:lang w:val="ro-RO" w:eastAsia="ro-RO"/>
        </w:rPr>
        <w:t xml:space="preserve"> 2024, 12, 77. </w:t>
      </w:r>
      <w:r w:rsidR="00974BA1" w:rsidRPr="00F13C11">
        <w:rPr>
          <w:rFonts w:cs="Arial"/>
          <w:bCs/>
          <w:iCs/>
          <w:sz w:val="24"/>
          <w:szCs w:val="28"/>
          <w:lang w:val="ro-RO" w:eastAsia="ro-RO"/>
        </w:rPr>
        <w:t>https://doi.org/10.3390/diseases12040077</w:t>
      </w:r>
      <w:r>
        <w:rPr>
          <w:rFonts w:cs="Arial"/>
          <w:bCs/>
          <w:iCs/>
          <w:sz w:val="24"/>
          <w:szCs w:val="28"/>
          <w:lang w:val="ro-RO" w:eastAsia="ro-RO"/>
        </w:rPr>
        <w:t>.</w:t>
      </w:r>
    </w:p>
    <w:p w14:paraId="6720F7DA" w14:textId="77777777" w:rsidR="00974BA1" w:rsidRPr="00974BA1" w:rsidRDefault="00974BA1" w:rsidP="00974BA1">
      <w:pPr>
        <w:suppressAutoHyphens w:val="0"/>
        <w:rPr>
          <w:rFonts w:cs="Arial"/>
          <w:bCs/>
          <w:iCs/>
          <w:sz w:val="24"/>
          <w:szCs w:val="28"/>
          <w:lang w:val="ro-RO" w:eastAsia="ro-RO"/>
        </w:rPr>
      </w:pPr>
    </w:p>
    <w:p w14:paraId="2200FABF" w14:textId="2E351862" w:rsidR="00974BA1" w:rsidRPr="00974BA1" w:rsidRDefault="00973137" w:rsidP="00974BA1">
      <w:pPr>
        <w:pStyle w:val="ListParagraph"/>
        <w:numPr>
          <w:ilvl w:val="0"/>
          <w:numId w:val="1"/>
        </w:numPr>
        <w:suppressAutoHyphens w:val="0"/>
        <w:rPr>
          <w:rFonts w:cs="Arial"/>
          <w:bCs/>
          <w:iCs/>
          <w:sz w:val="24"/>
          <w:szCs w:val="28"/>
          <w:lang w:val="ro-RO" w:eastAsia="ro-RO"/>
        </w:rPr>
      </w:pPr>
      <w:r w:rsidRPr="00974BA1">
        <w:rPr>
          <w:rFonts w:cs="Arial"/>
          <w:bCs/>
          <w:iCs/>
          <w:sz w:val="24"/>
          <w:szCs w:val="28"/>
          <w:lang w:val="ro-RO" w:eastAsia="ro-RO"/>
        </w:rPr>
        <w:t xml:space="preserve">Petre I, Negru S, </w:t>
      </w:r>
      <w:r w:rsidRPr="00974BA1">
        <w:rPr>
          <w:rFonts w:cs="Arial"/>
          <w:b/>
          <w:iCs/>
          <w:sz w:val="24"/>
          <w:szCs w:val="28"/>
          <w:lang w:val="ro-RO" w:eastAsia="ro-RO"/>
        </w:rPr>
        <w:t>Dragomir R</w:t>
      </w:r>
      <w:r w:rsidRPr="00974BA1">
        <w:rPr>
          <w:rFonts w:cs="Arial"/>
          <w:bCs/>
          <w:iCs/>
          <w:sz w:val="24"/>
          <w:szCs w:val="28"/>
          <w:lang w:val="ro-RO" w:eastAsia="ro-RO"/>
        </w:rPr>
        <w:t xml:space="preserve">, Bordianu A, Petre I, Marc L, Vlad DC. Artificial Intelligence Algorithms in Predictive Factors for Hematologic Toxicities During Concurrent Chemoradiation for Cervical Cancer. </w:t>
      </w:r>
      <w:r w:rsidRPr="00974BA1">
        <w:rPr>
          <w:rFonts w:cs="Arial"/>
          <w:bCs/>
          <w:i/>
          <w:sz w:val="24"/>
          <w:szCs w:val="28"/>
          <w:lang w:val="ro-RO" w:eastAsia="ro-RO"/>
        </w:rPr>
        <w:t>Cureus</w:t>
      </w:r>
      <w:r w:rsidRPr="00974BA1">
        <w:rPr>
          <w:rFonts w:cs="Arial"/>
          <w:bCs/>
          <w:iCs/>
          <w:sz w:val="24"/>
          <w:szCs w:val="28"/>
          <w:lang w:val="ro-RO" w:eastAsia="ro-RO"/>
        </w:rPr>
        <w:t>. 2024 Oct 1;16(10):e70665. doi: 10.7759/cureus.70665. PMID: 39493069; PMCID: PMC11528638.</w:t>
      </w:r>
    </w:p>
    <w:p w14:paraId="7CDC143A" w14:textId="77777777" w:rsidR="00974BA1" w:rsidRPr="00974BA1" w:rsidRDefault="00974BA1" w:rsidP="00974BA1">
      <w:pPr>
        <w:suppressAutoHyphens w:val="0"/>
        <w:rPr>
          <w:rFonts w:cs="Arial"/>
          <w:bCs/>
          <w:iCs/>
          <w:sz w:val="24"/>
          <w:szCs w:val="28"/>
          <w:lang w:val="ro-RO" w:eastAsia="ro-RO"/>
        </w:rPr>
      </w:pPr>
    </w:p>
    <w:p w14:paraId="0AF2E4FE" w14:textId="042F16DB" w:rsidR="00974BA1" w:rsidRPr="00974BA1" w:rsidRDefault="00973137" w:rsidP="00974BA1">
      <w:pPr>
        <w:pStyle w:val="ListParagraph"/>
        <w:numPr>
          <w:ilvl w:val="0"/>
          <w:numId w:val="1"/>
        </w:numPr>
        <w:suppressAutoHyphens w:val="0"/>
        <w:rPr>
          <w:rFonts w:cs="Arial"/>
          <w:bCs/>
          <w:iCs/>
          <w:sz w:val="24"/>
          <w:szCs w:val="28"/>
          <w:lang w:val="ro-RO" w:eastAsia="ro-RO"/>
        </w:rPr>
      </w:pPr>
      <w:r w:rsidRPr="00974BA1">
        <w:rPr>
          <w:rFonts w:cs="Arial"/>
          <w:b/>
          <w:iCs/>
          <w:sz w:val="24"/>
          <w:szCs w:val="28"/>
          <w:lang w:val="ro-RO" w:eastAsia="ro-RO"/>
        </w:rPr>
        <w:t>Dragomir RD</w:t>
      </w:r>
      <w:r w:rsidRPr="00974BA1">
        <w:rPr>
          <w:rFonts w:cs="Arial"/>
          <w:bCs/>
          <w:iCs/>
          <w:sz w:val="24"/>
          <w:szCs w:val="28"/>
          <w:lang w:val="ro-RO" w:eastAsia="ro-RO"/>
        </w:rPr>
        <w:t xml:space="preserve">, Mercioni MA, Negru Ș, Popovici D, Săftescu S, Blidari AR, Sas I. Comparison of Hepatic Function and Chemotherapy-Induced Side Effects Between Pegylated Liposomal Doxorubicin (PLD), </w:t>
      </w:r>
      <w:r w:rsidRPr="00974BA1">
        <w:rPr>
          <w:rFonts w:cs="Arial"/>
          <w:bCs/>
          <w:iCs/>
          <w:sz w:val="24"/>
          <w:szCs w:val="28"/>
          <w:lang w:val="ro-RO" w:eastAsia="ro-RO"/>
        </w:rPr>
        <w:lastRenderedPageBreak/>
        <w:t xml:space="preserve">Topotecan (TOPO), and Gemcitabine in Platinum-Resistant Ovarian Cancer (PROC). </w:t>
      </w:r>
      <w:r w:rsidRPr="00974BA1">
        <w:rPr>
          <w:rFonts w:cs="Arial"/>
          <w:bCs/>
          <w:i/>
          <w:sz w:val="24"/>
          <w:szCs w:val="28"/>
          <w:lang w:val="ro-RO" w:eastAsia="ro-RO"/>
        </w:rPr>
        <w:t>J Pers Med</w:t>
      </w:r>
      <w:r w:rsidRPr="00974BA1">
        <w:rPr>
          <w:rFonts w:cs="Arial"/>
          <w:bCs/>
          <w:iCs/>
          <w:sz w:val="24"/>
          <w:szCs w:val="28"/>
          <w:lang w:val="ro-RO" w:eastAsia="ro-RO"/>
        </w:rPr>
        <w:t>. 2025 Jan 19;15(1):39. doi: 10.3390/jpm15010039. PMID: 39852231; PMCID: PMC11766750.</w:t>
      </w:r>
    </w:p>
    <w:p w14:paraId="690549F3" w14:textId="77777777" w:rsidR="00974BA1" w:rsidRPr="00974BA1" w:rsidRDefault="00974BA1" w:rsidP="00974BA1">
      <w:pPr>
        <w:suppressAutoHyphens w:val="0"/>
        <w:rPr>
          <w:rFonts w:cs="Arial"/>
          <w:bCs/>
          <w:iCs/>
          <w:sz w:val="24"/>
          <w:szCs w:val="28"/>
          <w:lang w:val="ro-RO" w:eastAsia="ro-RO"/>
        </w:rPr>
      </w:pPr>
    </w:p>
    <w:p w14:paraId="21A71580" w14:textId="141B3469" w:rsidR="00973137" w:rsidRDefault="00973137" w:rsidP="00973137">
      <w:pPr>
        <w:pStyle w:val="ListParagraph"/>
        <w:numPr>
          <w:ilvl w:val="0"/>
          <w:numId w:val="1"/>
        </w:numPr>
        <w:suppressAutoHyphens w:val="0"/>
        <w:rPr>
          <w:rFonts w:cs="Arial"/>
          <w:bCs/>
          <w:iCs/>
          <w:sz w:val="24"/>
          <w:szCs w:val="28"/>
          <w:lang w:val="ro-RO" w:eastAsia="ro-RO"/>
        </w:rPr>
      </w:pPr>
      <w:r w:rsidRPr="001218DB">
        <w:rPr>
          <w:rFonts w:cs="Arial"/>
          <w:b/>
          <w:iCs/>
          <w:sz w:val="24"/>
          <w:szCs w:val="28"/>
          <w:lang w:val="ro-RO" w:eastAsia="ro-RO"/>
        </w:rPr>
        <w:t>Dragomir R-D</w:t>
      </w:r>
      <w:r w:rsidRPr="00A63352">
        <w:rPr>
          <w:rFonts w:cs="Arial"/>
          <w:bCs/>
          <w:iCs/>
          <w:sz w:val="24"/>
          <w:szCs w:val="28"/>
          <w:lang w:val="ro-RO" w:eastAsia="ro-RO"/>
        </w:rPr>
        <w:t xml:space="preserve">, Negru A-G, Mercioni M-A, Popovici D, Săftescu S, Blidari AR, Curcă RO, Sas I. The Role of Initial Neutropenia and Neutrophil Dynamics in Personalizing Chemotherapy for Platinum-Resistant Ovarian Cancer. </w:t>
      </w:r>
      <w:r w:rsidRPr="00BF4425">
        <w:rPr>
          <w:rFonts w:cs="Arial"/>
          <w:bCs/>
          <w:i/>
          <w:sz w:val="24"/>
          <w:szCs w:val="28"/>
          <w:lang w:val="ro-RO" w:eastAsia="ro-RO"/>
        </w:rPr>
        <w:t>Medicina</w:t>
      </w:r>
      <w:r w:rsidRPr="00A63352">
        <w:rPr>
          <w:rFonts w:cs="Arial"/>
          <w:bCs/>
          <w:iCs/>
          <w:sz w:val="24"/>
          <w:szCs w:val="28"/>
          <w:lang w:val="ro-RO" w:eastAsia="ro-RO"/>
        </w:rPr>
        <w:t xml:space="preserve">. 2025; 61(3):470. </w:t>
      </w:r>
      <w:r w:rsidR="00974BA1" w:rsidRPr="00F13C11">
        <w:rPr>
          <w:rFonts w:cs="Arial"/>
          <w:bCs/>
          <w:iCs/>
          <w:sz w:val="24"/>
          <w:szCs w:val="28"/>
          <w:lang w:val="ro-RO" w:eastAsia="ro-RO"/>
        </w:rPr>
        <w:t>https://doi.org/10.3390/medicina61030470</w:t>
      </w:r>
    </w:p>
    <w:p w14:paraId="7EF8FD4D" w14:textId="77777777" w:rsidR="00974BA1" w:rsidRPr="00974BA1" w:rsidRDefault="00974BA1" w:rsidP="00974BA1">
      <w:pPr>
        <w:pStyle w:val="ListParagraph"/>
        <w:rPr>
          <w:rFonts w:cs="Arial"/>
          <w:bCs/>
          <w:iCs/>
          <w:sz w:val="24"/>
          <w:szCs w:val="28"/>
          <w:lang w:val="ro-RO" w:eastAsia="ro-RO"/>
        </w:rPr>
      </w:pPr>
    </w:p>
    <w:p w14:paraId="21F0A2E6" w14:textId="77777777" w:rsidR="00973137" w:rsidRPr="00974BA1" w:rsidRDefault="00973137" w:rsidP="00973137">
      <w:pPr>
        <w:pStyle w:val="ListParagraph"/>
        <w:numPr>
          <w:ilvl w:val="0"/>
          <w:numId w:val="1"/>
        </w:numPr>
        <w:suppressAutoHyphens w:val="0"/>
        <w:rPr>
          <w:rFonts w:cs="Arial"/>
          <w:bCs/>
          <w:iCs/>
          <w:sz w:val="24"/>
          <w:szCs w:val="28"/>
          <w:lang w:val="ro-RO" w:eastAsia="ro-RO"/>
        </w:rPr>
      </w:pPr>
      <w:r w:rsidRPr="00E41CA9">
        <w:rPr>
          <w:rFonts w:cs="Arial"/>
          <w:bCs/>
          <w:iCs/>
          <w:sz w:val="24"/>
          <w:szCs w:val="28"/>
          <w:lang w:val="ro-RO" w:eastAsia="ro-RO"/>
        </w:rPr>
        <w:t xml:space="preserve">Goldiș A, </w:t>
      </w:r>
      <w:r w:rsidRPr="00142B49">
        <w:rPr>
          <w:rFonts w:cs="Arial"/>
          <w:b/>
          <w:iCs/>
          <w:sz w:val="24"/>
          <w:szCs w:val="28"/>
          <w:lang w:val="ro-RO" w:eastAsia="ro-RO"/>
        </w:rPr>
        <w:t>Dragomir R</w:t>
      </w:r>
      <w:r w:rsidRPr="00E41CA9">
        <w:rPr>
          <w:rFonts w:cs="Arial"/>
          <w:bCs/>
          <w:iCs/>
          <w:sz w:val="24"/>
          <w:szCs w:val="28"/>
          <w:lang w:val="ro-RO" w:eastAsia="ro-RO"/>
        </w:rPr>
        <w:t>, Mercioni MA, Goldiș C, Sirca D, Enatescu I, Belei O. Introducing a Novel Personalized Microbiome-Based Treatment for Inflammatory Bowel Disease: Results from NostraBiome’s Internal Validation Study</w:t>
      </w:r>
      <w:r w:rsidRPr="00BF4425">
        <w:rPr>
          <w:rFonts w:cs="Arial"/>
          <w:bCs/>
          <w:i/>
          <w:sz w:val="24"/>
          <w:szCs w:val="28"/>
          <w:lang w:val="ro-RO" w:eastAsia="ro-RO"/>
        </w:rPr>
        <w:t>. Biomedicines</w:t>
      </w:r>
      <w:r w:rsidRPr="00E41CA9">
        <w:rPr>
          <w:rFonts w:cs="Arial"/>
          <w:bCs/>
          <w:iCs/>
          <w:sz w:val="24"/>
          <w:szCs w:val="28"/>
          <w:lang w:val="ro-RO" w:eastAsia="ro-RO"/>
        </w:rPr>
        <w:t xml:space="preserve">. 2025; 13(4):795. </w:t>
      </w:r>
      <w:r w:rsidRPr="0087740F">
        <w:rPr>
          <w:rFonts w:cs="Arial"/>
          <w:bCs/>
          <w:iCs/>
          <w:sz w:val="24"/>
          <w:szCs w:val="28"/>
          <w:lang w:val="ro-RO" w:eastAsia="ro-RO"/>
        </w:rPr>
        <w:t>https://doi.org/10.3390/biomedicines13040795</w:t>
      </w:r>
      <w:r w:rsidRPr="0087740F">
        <w:t xml:space="preserve"> </w:t>
      </w:r>
    </w:p>
    <w:p w14:paraId="4AD59AF5" w14:textId="77777777" w:rsidR="00974BA1" w:rsidRPr="00974BA1" w:rsidRDefault="00974BA1" w:rsidP="00974BA1">
      <w:pPr>
        <w:pStyle w:val="ListParagraph"/>
        <w:rPr>
          <w:rFonts w:cs="Arial"/>
          <w:bCs/>
          <w:iCs/>
          <w:sz w:val="24"/>
          <w:szCs w:val="28"/>
          <w:lang w:val="ro-RO" w:eastAsia="ro-RO"/>
        </w:rPr>
      </w:pPr>
    </w:p>
    <w:p w14:paraId="27A60B67" w14:textId="582B8700" w:rsidR="00973137" w:rsidRDefault="00973137" w:rsidP="00973137">
      <w:pPr>
        <w:pStyle w:val="ListParagraph"/>
        <w:numPr>
          <w:ilvl w:val="0"/>
          <w:numId w:val="1"/>
        </w:numPr>
        <w:suppressAutoHyphens w:val="0"/>
        <w:rPr>
          <w:rFonts w:cs="Arial"/>
          <w:bCs/>
          <w:iCs/>
          <w:sz w:val="24"/>
          <w:szCs w:val="28"/>
          <w:lang w:val="ro-RO" w:eastAsia="ro-RO"/>
        </w:rPr>
      </w:pPr>
      <w:r w:rsidRPr="0087740F">
        <w:rPr>
          <w:rFonts w:cs="Arial"/>
          <w:bCs/>
          <w:iCs/>
          <w:sz w:val="24"/>
          <w:szCs w:val="28"/>
          <w:lang w:val="ro-RO" w:eastAsia="ro-RO"/>
        </w:rPr>
        <w:t xml:space="preserve">Goldiș A, </w:t>
      </w:r>
      <w:r w:rsidRPr="0087740F">
        <w:rPr>
          <w:rFonts w:cs="Arial"/>
          <w:b/>
          <w:iCs/>
          <w:sz w:val="24"/>
          <w:szCs w:val="28"/>
          <w:lang w:val="ro-RO" w:eastAsia="ro-RO"/>
        </w:rPr>
        <w:t>Dragomir R</w:t>
      </w:r>
      <w:r w:rsidRPr="0087740F">
        <w:rPr>
          <w:rFonts w:cs="Arial"/>
          <w:bCs/>
          <w:iCs/>
          <w:sz w:val="24"/>
          <w:szCs w:val="28"/>
          <w:lang w:val="ro-RO" w:eastAsia="ro-RO"/>
        </w:rPr>
        <w:t xml:space="preserve">, Mercioni MA, Goldiș C, Sirca D, Enătescu I, Olariu L, Belei O. Personalized Microbiome Modulation to Improve Clinical Outcomes in Pediatric Inflammatory Bowel Disease: A Multi-Omics and Interventional Approach. </w:t>
      </w:r>
      <w:r w:rsidRPr="00BF4425">
        <w:rPr>
          <w:rFonts w:cs="Arial"/>
          <w:bCs/>
          <w:i/>
          <w:sz w:val="24"/>
          <w:szCs w:val="28"/>
          <w:lang w:val="ro-RO" w:eastAsia="ro-RO"/>
        </w:rPr>
        <w:t>Microorganisms</w:t>
      </w:r>
      <w:r w:rsidRPr="0087740F">
        <w:rPr>
          <w:rFonts w:cs="Arial"/>
          <w:bCs/>
          <w:iCs/>
          <w:sz w:val="24"/>
          <w:szCs w:val="28"/>
          <w:lang w:val="ro-RO" w:eastAsia="ro-RO"/>
        </w:rPr>
        <w:t xml:space="preserve">. 2025; 13(5):1047. </w:t>
      </w:r>
      <w:r w:rsidR="00974BA1" w:rsidRPr="00F13C11">
        <w:rPr>
          <w:rFonts w:cs="Arial"/>
          <w:bCs/>
          <w:iCs/>
          <w:sz w:val="24"/>
          <w:szCs w:val="28"/>
          <w:lang w:val="ro-RO" w:eastAsia="ro-RO"/>
        </w:rPr>
        <w:t>https://doi.org/10.3390/microorganisms1305104</w:t>
      </w:r>
    </w:p>
    <w:p w14:paraId="227B110C" w14:textId="77777777" w:rsidR="00974BA1" w:rsidRPr="00974BA1" w:rsidRDefault="00974BA1" w:rsidP="00974BA1">
      <w:pPr>
        <w:pStyle w:val="ListParagraph"/>
        <w:rPr>
          <w:rFonts w:cs="Arial"/>
          <w:bCs/>
          <w:iCs/>
          <w:sz w:val="24"/>
          <w:szCs w:val="28"/>
          <w:lang w:val="ro-RO" w:eastAsia="ro-RO"/>
        </w:rPr>
      </w:pPr>
    </w:p>
    <w:p w14:paraId="28102A96" w14:textId="6FA33E38" w:rsidR="00973137" w:rsidRDefault="00973137" w:rsidP="00973137">
      <w:pPr>
        <w:pStyle w:val="ListParagraph"/>
        <w:numPr>
          <w:ilvl w:val="0"/>
          <w:numId w:val="1"/>
        </w:numPr>
        <w:suppressAutoHyphens w:val="0"/>
        <w:rPr>
          <w:rFonts w:cs="Arial"/>
          <w:bCs/>
          <w:iCs/>
          <w:sz w:val="24"/>
          <w:szCs w:val="28"/>
          <w:lang w:val="ro-RO" w:eastAsia="ro-RO"/>
        </w:rPr>
      </w:pPr>
      <w:r w:rsidRPr="0087740F">
        <w:rPr>
          <w:rFonts w:cs="Arial"/>
          <w:bCs/>
          <w:iCs/>
          <w:sz w:val="24"/>
          <w:szCs w:val="28"/>
          <w:lang w:val="ro-RO" w:eastAsia="ro-RO"/>
        </w:rPr>
        <w:t xml:space="preserve">Goldiș A, </w:t>
      </w:r>
      <w:r w:rsidRPr="0087740F">
        <w:rPr>
          <w:rFonts w:cs="Arial"/>
          <w:b/>
          <w:iCs/>
          <w:sz w:val="24"/>
          <w:szCs w:val="28"/>
          <w:lang w:val="ro-RO" w:eastAsia="ro-RO"/>
        </w:rPr>
        <w:t>Dragomir R</w:t>
      </w:r>
      <w:r w:rsidRPr="0087740F">
        <w:rPr>
          <w:rFonts w:cs="Arial"/>
          <w:bCs/>
          <w:iCs/>
          <w:sz w:val="24"/>
          <w:szCs w:val="28"/>
          <w:lang w:val="ro-RO" w:eastAsia="ro-RO"/>
        </w:rPr>
        <w:t xml:space="preserve">, Mercioni MA, Sirca D, Goldiș C, Enatescu I, Olariu L, Belei O. Clinical Efficacy of Sodium Butyrate in Managing Pediatric Inflammatory Bowel Disease. </w:t>
      </w:r>
      <w:r w:rsidRPr="00BF4425">
        <w:rPr>
          <w:rFonts w:cs="Arial"/>
          <w:bCs/>
          <w:i/>
          <w:sz w:val="24"/>
          <w:szCs w:val="28"/>
          <w:lang w:val="ro-RO" w:eastAsia="ro-RO"/>
        </w:rPr>
        <w:t>Life</w:t>
      </w:r>
      <w:r w:rsidRPr="0087740F">
        <w:rPr>
          <w:rFonts w:cs="Arial"/>
          <w:bCs/>
          <w:iCs/>
          <w:sz w:val="24"/>
          <w:szCs w:val="28"/>
          <w:lang w:val="ro-RO" w:eastAsia="ro-RO"/>
        </w:rPr>
        <w:t xml:space="preserve">. 2025; 15(6):902. </w:t>
      </w:r>
      <w:r w:rsidR="00974BA1" w:rsidRPr="00F13C11">
        <w:rPr>
          <w:rFonts w:cs="Arial"/>
          <w:bCs/>
          <w:iCs/>
          <w:sz w:val="24"/>
          <w:szCs w:val="28"/>
          <w:lang w:val="ro-RO" w:eastAsia="ro-RO"/>
        </w:rPr>
        <w:t>https://doi.org/10.3390/life15060902</w:t>
      </w:r>
    </w:p>
    <w:p w14:paraId="7A5D6BE3" w14:textId="77777777" w:rsidR="00974BA1" w:rsidRPr="00974BA1" w:rsidRDefault="00974BA1" w:rsidP="00974BA1">
      <w:pPr>
        <w:pStyle w:val="ListParagraph"/>
        <w:rPr>
          <w:rFonts w:cs="Arial"/>
          <w:bCs/>
          <w:iCs/>
          <w:sz w:val="24"/>
          <w:szCs w:val="28"/>
          <w:lang w:val="ro-RO" w:eastAsia="ro-RO"/>
        </w:rPr>
      </w:pPr>
    </w:p>
    <w:p w14:paraId="0F3E90DD" w14:textId="0B691D5A" w:rsidR="00973137" w:rsidRDefault="00973137" w:rsidP="00973137">
      <w:pPr>
        <w:pStyle w:val="ListParagraph"/>
        <w:numPr>
          <w:ilvl w:val="0"/>
          <w:numId w:val="1"/>
        </w:numPr>
        <w:suppressAutoHyphens w:val="0"/>
        <w:rPr>
          <w:rFonts w:cs="Arial"/>
          <w:bCs/>
          <w:iCs/>
          <w:sz w:val="24"/>
          <w:szCs w:val="28"/>
          <w:lang w:val="ro-RO" w:eastAsia="ro-RO"/>
        </w:rPr>
      </w:pPr>
      <w:r w:rsidRPr="0087740F">
        <w:rPr>
          <w:rFonts w:cs="Arial"/>
          <w:bCs/>
          <w:iCs/>
          <w:sz w:val="24"/>
          <w:szCs w:val="28"/>
          <w:lang w:val="ro-RO" w:eastAsia="ro-RO"/>
        </w:rPr>
        <w:t xml:space="preserve">Saftescu S, Vornicu V-N, Popovici D-I, </w:t>
      </w:r>
      <w:r w:rsidRPr="0087740F">
        <w:rPr>
          <w:rFonts w:cs="Arial"/>
          <w:b/>
          <w:iCs/>
          <w:sz w:val="24"/>
          <w:szCs w:val="28"/>
          <w:lang w:val="ro-RO" w:eastAsia="ro-RO"/>
        </w:rPr>
        <w:t>Dragomir R-D</w:t>
      </w:r>
      <w:r w:rsidRPr="0087740F">
        <w:rPr>
          <w:rFonts w:cs="Arial"/>
          <w:bCs/>
          <w:iCs/>
          <w:sz w:val="24"/>
          <w:szCs w:val="28"/>
          <w:lang w:val="ro-RO" w:eastAsia="ro-RO"/>
        </w:rPr>
        <w:t xml:space="preserve">, Nagy D-S, Sandu D-L, Dulan A, Negru Ș-M, Negru A-G. Decoding Treatment Failures in Metastatic Renal Cell Carcinoma: Predictors Across Immunotherapy and Targeted Therapies from a Retrospective Real-World Analysis. </w:t>
      </w:r>
      <w:r w:rsidRPr="00BF4425">
        <w:rPr>
          <w:rFonts w:cs="Arial"/>
          <w:bCs/>
          <w:i/>
          <w:sz w:val="24"/>
          <w:szCs w:val="28"/>
          <w:lang w:val="ro-RO" w:eastAsia="ro-RO"/>
        </w:rPr>
        <w:t>Journal of Clinical Medicine</w:t>
      </w:r>
      <w:r w:rsidRPr="0087740F">
        <w:rPr>
          <w:rFonts w:cs="Arial"/>
          <w:bCs/>
          <w:iCs/>
          <w:sz w:val="24"/>
          <w:szCs w:val="28"/>
          <w:lang w:val="ro-RO" w:eastAsia="ro-RO"/>
        </w:rPr>
        <w:t xml:space="preserve">. 2025; 14(15):5271. </w:t>
      </w:r>
      <w:r w:rsidR="00974BA1" w:rsidRPr="00F13C11">
        <w:rPr>
          <w:rFonts w:cs="Arial"/>
          <w:bCs/>
          <w:iCs/>
          <w:sz w:val="24"/>
          <w:szCs w:val="28"/>
          <w:lang w:val="ro-RO" w:eastAsia="ro-RO"/>
        </w:rPr>
        <w:t>https://doi.org/10.3390/jcm14155271</w:t>
      </w:r>
    </w:p>
    <w:p w14:paraId="2E2A623A" w14:textId="77777777" w:rsidR="00974BA1" w:rsidRPr="00974BA1" w:rsidRDefault="00974BA1" w:rsidP="00974BA1">
      <w:pPr>
        <w:pStyle w:val="ListParagraph"/>
        <w:rPr>
          <w:rFonts w:cs="Arial"/>
          <w:bCs/>
          <w:iCs/>
          <w:sz w:val="24"/>
          <w:szCs w:val="28"/>
          <w:lang w:val="ro-RO" w:eastAsia="ro-RO"/>
        </w:rPr>
      </w:pPr>
    </w:p>
    <w:p w14:paraId="6E4835FD" w14:textId="77777777" w:rsidR="00973137" w:rsidRDefault="00973137" w:rsidP="00973137">
      <w:pPr>
        <w:pStyle w:val="ListParagraph"/>
        <w:numPr>
          <w:ilvl w:val="0"/>
          <w:numId w:val="1"/>
        </w:numPr>
        <w:suppressAutoHyphens w:val="0"/>
        <w:rPr>
          <w:rFonts w:cs="Arial"/>
          <w:bCs/>
          <w:iCs/>
          <w:sz w:val="24"/>
          <w:szCs w:val="28"/>
          <w:lang w:val="ro-RO" w:eastAsia="ro-RO"/>
        </w:rPr>
      </w:pPr>
      <w:r w:rsidRPr="0087740F">
        <w:rPr>
          <w:rFonts w:cs="Arial"/>
          <w:bCs/>
          <w:iCs/>
          <w:sz w:val="24"/>
          <w:szCs w:val="28"/>
          <w:lang w:val="ro-RO" w:eastAsia="ro-RO"/>
        </w:rPr>
        <w:t xml:space="preserve">Lupusoru R, Moleriu LC, Mare R, Sporea I, Popescu A, Sirli R, Goldis A, Nica C, Moga TV, Miutescu B, Ratiu I, Belei O, Olariu L, Dumitrascu V, </w:t>
      </w:r>
      <w:r w:rsidRPr="0087740F">
        <w:rPr>
          <w:rFonts w:cs="Arial"/>
          <w:b/>
          <w:iCs/>
          <w:sz w:val="24"/>
          <w:szCs w:val="28"/>
          <w:lang w:val="ro-RO" w:eastAsia="ro-RO"/>
        </w:rPr>
        <w:t>Dragomir RD</w:t>
      </w:r>
      <w:r w:rsidRPr="0087740F">
        <w:rPr>
          <w:rFonts w:cs="Arial"/>
          <w:bCs/>
          <w:iCs/>
          <w:sz w:val="24"/>
          <w:szCs w:val="28"/>
          <w:lang w:val="ro-RO" w:eastAsia="ro-RO"/>
        </w:rPr>
        <w:t xml:space="preserve">. AI-Guided Multi-Omic Microbiome Modulation Improves Clinical and Inflammatory Outcomes in Refractory IBD: A Real-World Study. </w:t>
      </w:r>
      <w:r w:rsidRPr="00BF4425">
        <w:rPr>
          <w:rFonts w:cs="Arial"/>
          <w:bCs/>
          <w:i/>
          <w:sz w:val="24"/>
          <w:szCs w:val="28"/>
          <w:lang w:val="ro-RO" w:eastAsia="ro-RO"/>
        </w:rPr>
        <w:t>Int J Mol Sci</w:t>
      </w:r>
      <w:r w:rsidRPr="0087740F">
        <w:rPr>
          <w:rFonts w:cs="Arial"/>
          <w:bCs/>
          <w:iCs/>
          <w:sz w:val="24"/>
          <w:szCs w:val="28"/>
          <w:lang w:val="ro-RO" w:eastAsia="ro-RO"/>
        </w:rPr>
        <w:t>. 2025 Dec 24;27(1):201. doi: 10.3390/ijms27010201</w:t>
      </w:r>
    </w:p>
    <w:p w14:paraId="6363B7B3" w14:textId="77777777" w:rsidR="00974BA1" w:rsidRPr="00974BA1" w:rsidRDefault="00974BA1" w:rsidP="00974BA1">
      <w:pPr>
        <w:pStyle w:val="ListParagraph"/>
        <w:rPr>
          <w:rFonts w:cs="Arial"/>
          <w:bCs/>
          <w:iCs/>
          <w:sz w:val="24"/>
          <w:szCs w:val="28"/>
          <w:lang w:val="ro-RO" w:eastAsia="ro-RO"/>
        </w:rPr>
      </w:pPr>
    </w:p>
    <w:p w14:paraId="634C2498" w14:textId="77777777" w:rsidR="00973137" w:rsidRDefault="00973137" w:rsidP="00973137">
      <w:pPr>
        <w:pStyle w:val="ListParagraph"/>
        <w:numPr>
          <w:ilvl w:val="0"/>
          <w:numId w:val="1"/>
        </w:numPr>
        <w:suppressAutoHyphens w:val="0"/>
        <w:rPr>
          <w:rFonts w:cs="Arial"/>
          <w:bCs/>
          <w:iCs/>
          <w:sz w:val="24"/>
          <w:szCs w:val="28"/>
          <w:lang w:val="ro-RO" w:eastAsia="ro-RO"/>
        </w:rPr>
      </w:pPr>
      <w:r w:rsidRPr="005B7B08">
        <w:rPr>
          <w:rFonts w:cs="Arial"/>
          <w:bCs/>
          <w:iCs/>
          <w:sz w:val="24"/>
          <w:szCs w:val="28"/>
          <w:lang w:val="ro-RO" w:eastAsia="ro-RO"/>
        </w:rPr>
        <w:t xml:space="preserve">Sur D, Lungulescu-Berisha C, Gheorghe AS, Lungulescu CV, Toma SA, Armeanu EM, Mihaila RI, Iovanescu EA, Croitoru-Cazacu IM, Croitoru VM, </w:t>
      </w:r>
      <w:r w:rsidRPr="005B7B08">
        <w:rPr>
          <w:rFonts w:cs="Arial"/>
          <w:b/>
          <w:iCs/>
          <w:sz w:val="24"/>
          <w:szCs w:val="28"/>
          <w:lang w:val="ro-RO" w:eastAsia="ro-RO"/>
        </w:rPr>
        <w:t>Dragomir R</w:t>
      </w:r>
      <w:r w:rsidRPr="005B7B08">
        <w:rPr>
          <w:rFonts w:cs="Arial"/>
          <w:bCs/>
          <w:iCs/>
          <w:sz w:val="24"/>
          <w:szCs w:val="28"/>
          <w:lang w:val="ro-RO" w:eastAsia="ro-RO"/>
        </w:rPr>
        <w:t xml:space="preserve">, Hubeishie A, Lupu V, Mosoiu S, Dulf D, Alexa-Stratulat T, Volovăț SR, Stanculeanu DL, Marinca MV, Nita A, Gales L, Median MD, Croitoru A, Negru S, Mazilu L, Curca RO, Schenker M, Afrasanie VA. Career challenges of young oncologists in Romania: a nationwide survey. </w:t>
      </w:r>
      <w:r w:rsidRPr="00BF4425">
        <w:rPr>
          <w:rFonts w:cs="Arial"/>
          <w:bCs/>
          <w:i/>
          <w:sz w:val="24"/>
          <w:szCs w:val="28"/>
          <w:lang w:val="ro-RO" w:eastAsia="ro-RO"/>
        </w:rPr>
        <w:t>BMC Med Educ</w:t>
      </w:r>
      <w:r w:rsidRPr="005B7B08">
        <w:rPr>
          <w:rFonts w:cs="Arial"/>
          <w:bCs/>
          <w:iCs/>
          <w:sz w:val="24"/>
          <w:szCs w:val="28"/>
          <w:lang w:val="ro-RO" w:eastAsia="ro-RO"/>
        </w:rPr>
        <w:t>. 2026 Mar 20;26(1):690. doi: 10.1186/s12909-026-09006-z. PMID: 41862949; PMCID: PMC13126845.</w:t>
      </w:r>
    </w:p>
    <w:p w14:paraId="147DF5F5" w14:textId="77777777" w:rsidR="00974BA1" w:rsidRPr="00974BA1" w:rsidRDefault="00974BA1" w:rsidP="00974BA1">
      <w:pPr>
        <w:pStyle w:val="ListParagraph"/>
        <w:rPr>
          <w:rFonts w:cs="Arial"/>
          <w:bCs/>
          <w:iCs/>
          <w:sz w:val="24"/>
          <w:szCs w:val="28"/>
          <w:lang w:val="ro-RO" w:eastAsia="ro-RO"/>
        </w:rPr>
      </w:pPr>
    </w:p>
    <w:p w14:paraId="7B24B474" w14:textId="77777777" w:rsidR="00973137" w:rsidRPr="0087740F" w:rsidRDefault="00973137" w:rsidP="00973137">
      <w:pPr>
        <w:pStyle w:val="ListParagraph"/>
        <w:numPr>
          <w:ilvl w:val="0"/>
          <w:numId w:val="1"/>
        </w:numPr>
        <w:suppressAutoHyphens w:val="0"/>
        <w:rPr>
          <w:rFonts w:cs="Arial"/>
          <w:bCs/>
          <w:iCs/>
          <w:sz w:val="24"/>
          <w:szCs w:val="28"/>
          <w:lang w:val="ro-RO" w:eastAsia="ro-RO"/>
        </w:rPr>
      </w:pPr>
      <w:r w:rsidRPr="002F3A72">
        <w:rPr>
          <w:rFonts w:cs="Arial"/>
          <w:b/>
          <w:iCs/>
          <w:sz w:val="24"/>
          <w:szCs w:val="28"/>
          <w:lang w:val="ro-RO" w:eastAsia="ro-RO"/>
        </w:rPr>
        <w:t>Dragomir RD</w:t>
      </w:r>
      <w:r w:rsidRPr="002F3A72">
        <w:rPr>
          <w:rFonts w:cs="Arial"/>
          <w:bCs/>
          <w:iCs/>
          <w:sz w:val="24"/>
          <w:szCs w:val="28"/>
          <w:lang w:val="ro-RO" w:eastAsia="ro-RO"/>
        </w:rPr>
        <w:t xml:space="preserve">, Saftescu S, Sandu DL, Dulan A, Croitoru-Cazacu IM, Croitoru AE, Croitoru VM, Vornicu V, Nagy DE, Perva IT, Sirca D, Popovici DI. Artificial Intelligence-Guided Personalized Gut Microbiome Modulation for Persistent Secondary Gastrointestinal Symptoms in Oncology Patients: Clinical Efficacy and Biological Correlates from a Prospective Validation Study. </w:t>
      </w:r>
      <w:r w:rsidRPr="00BF4425">
        <w:rPr>
          <w:rFonts w:cs="Arial"/>
          <w:bCs/>
          <w:i/>
          <w:sz w:val="24"/>
          <w:szCs w:val="28"/>
          <w:lang w:val="ro-RO" w:eastAsia="ro-RO"/>
        </w:rPr>
        <w:t>Cancers (Basel)</w:t>
      </w:r>
      <w:r w:rsidRPr="002F3A72">
        <w:rPr>
          <w:rFonts w:cs="Arial"/>
          <w:bCs/>
          <w:iCs/>
          <w:sz w:val="24"/>
          <w:szCs w:val="28"/>
          <w:lang w:val="ro-RO" w:eastAsia="ro-RO"/>
        </w:rPr>
        <w:t>. 2026 May 1;18(9):1453. doi: 10.3390/cancers18091453. PMID: 42122249; PMCID: PMC13162745.</w:t>
      </w:r>
    </w:p>
    <w:p w14:paraId="1498A618" w14:textId="77777777" w:rsidR="00944303" w:rsidRDefault="00944303"/>
    <w:sectPr w:rsidR="00944303" w:rsidSect="00A96B9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DD3438"/>
    <w:multiLevelType w:val="hybridMultilevel"/>
    <w:tmpl w:val="F506A614"/>
    <w:lvl w:ilvl="0" w:tplc="BFB0721C">
      <w:start w:val="1"/>
      <w:numFmt w:val="decimal"/>
      <w:lvlText w:val="%1."/>
      <w:lvlJc w:val="left"/>
      <w:pPr>
        <w:ind w:left="720" w:hanging="360"/>
      </w:pPr>
      <w:rPr>
        <w:b w:val="0"/>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307007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303"/>
    <w:rsid w:val="00240579"/>
    <w:rsid w:val="00944303"/>
    <w:rsid w:val="00973137"/>
    <w:rsid w:val="00974BA1"/>
    <w:rsid w:val="00A96B93"/>
    <w:rsid w:val="00F13C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D763D"/>
  <w15:chartTrackingRefBased/>
  <w15:docId w15:val="{BFE8A2E7-4F54-4BEF-9250-5615A1A73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137"/>
    <w:pPr>
      <w:suppressAutoHyphens/>
      <w:spacing w:after="0" w:line="240" w:lineRule="auto"/>
    </w:pPr>
    <w:rPr>
      <w:rFonts w:ascii="Arial Narrow" w:eastAsia="Times New Roman" w:hAnsi="Arial Narrow" w:cs="Times New Roman"/>
      <w:kern w:val="0"/>
      <w:sz w:val="20"/>
      <w:szCs w:val="20"/>
      <w:lang w:val="en-US" w:eastAsia="ar-SA"/>
      <w14:ligatures w14:val="none"/>
    </w:rPr>
  </w:style>
  <w:style w:type="paragraph" w:styleId="Heading1">
    <w:name w:val="heading 1"/>
    <w:basedOn w:val="Normal"/>
    <w:next w:val="Normal"/>
    <w:link w:val="Heading1Char"/>
    <w:uiPriority w:val="9"/>
    <w:qFormat/>
    <w:rsid w:val="009443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43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43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43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43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430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430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430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430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3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43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43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43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43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43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43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43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4303"/>
    <w:rPr>
      <w:rFonts w:eastAsiaTheme="majorEastAsia" w:cstheme="majorBidi"/>
      <w:color w:val="272727" w:themeColor="text1" w:themeTint="D8"/>
    </w:rPr>
  </w:style>
  <w:style w:type="paragraph" w:styleId="Title">
    <w:name w:val="Title"/>
    <w:basedOn w:val="Normal"/>
    <w:next w:val="Normal"/>
    <w:link w:val="TitleChar"/>
    <w:uiPriority w:val="10"/>
    <w:qFormat/>
    <w:rsid w:val="0094430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43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43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43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4303"/>
    <w:pPr>
      <w:spacing w:before="160"/>
      <w:jc w:val="center"/>
    </w:pPr>
    <w:rPr>
      <w:i/>
      <w:iCs/>
      <w:color w:val="404040" w:themeColor="text1" w:themeTint="BF"/>
    </w:rPr>
  </w:style>
  <w:style w:type="character" w:customStyle="1" w:styleId="QuoteChar">
    <w:name w:val="Quote Char"/>
    <w:basedOn w:val="DefaultParagraphFont"/>
    <w:link w:val="Quote"/>
    <w:uiPriority w:val="29"/>
    <w:rsid w:val="00944303"/>
    <w:rPr>
      <w:i/>
      <w:iCs/>
      <w:color w:val="404040" w:themeColor="text1" w:themeTint="BF"/>
    </w:rPr>
  </w:style>
  <w:style w:type="paragraph" w:styleId="ListParagraph">
    <w:name w:val="List Paragraph"/>
    <w:basedOn w:val="Normal"/>
    <w:uiPriority w:val="34"/>
    <w:qFormat/>
    <w:rsid w:val="00944303"/>
    <w:pPr>
      <w:ind w:left="720"/>
      <w:contextualSpacing/>
    </w:pPr>
  </w:style>
  <w:style w:type="character" w:styleId="IntenseEmphasis">
    <w:name w:val="Intense Emphasis"/>
    <w:basedOn w:val="DefaultParagraphFont"/>
    <w:uiPriority w:val="21"/>
    <w:qFormat/>
    <w:rsid w:val="00944303"/>
    <w:rPr>
      <w:i/>
      <w:iCs/>
      <w:color w:val="0F4761" w:themeColor="accent1" w:themeShade="BF"/>
    </w:rPr>
  </w:style>
  <w:style w:type="paragraph" w:styleId="IntenseQuote">
    <w:name w:val="Intense Quote"/>
    <w:basedOn w:val="Normal"/>
    <w:next w:val="Normal"/>
    <w:link w:val="IntenseQuoteChar"/>
    <w:uiPriority w:val="30"/>
    <w:qFormat/>
    <w:rsid w:val="009443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4303"/>
    <w:rPr>
      <w:i/>
      <w:iCs/>
      <w:color w:val="0F4761" w:themeColor="accent1" w:themeShade="BF"/>
    </w:rPr>
  </w:style>
  <w:style w:type="character" w:styleId="IntenseReference">
    <w:name w:val="Intense Reference"/>
    <w:basedOn w:val="DefaultParagraphFont"/>
    <w:uiPriority w:val="32"/>
    <w:qFormat/>
    <w:rsid w:val="00944303"/>
    <w:rPr>
      <w:b/>
      <w:bCs/>
      <w:smallCaps/>
      <w:color w:val="0F4761" w:themeColor="accent1" w:themeShade="BF"/>
      <w:spacing w:val="5"/>
    </w:rPr>
  </w:style>
  <w:style w:type="character" w:styleId="Hyperlink">
    <w:name w:val="Hyperlink"/>
    <w:basedOn w:val="DefaultParagraphFont"/>
    <w:uiPriority w:val="99"/>
    <w:unhideWhenUsed/>
    <w:rsid w:val="00974BA1"/>
    <w:rPr>
      <w:color w:val="467886" w:themeColor="hyperlink"/>
      <w:u w:val="single"/>
    </w:rPr>
  </w:style>
  <w:style w:type="character" w:styleId="UnresolvedMention">
    <w:name w:val="Unresolved Mention"/>
    <w:basedOn w:val="DefaultParagraphFont"/>
    <w:uiPriority w:val="99"/>
    <w:semiHidden/>
    <w:unhideWhenUsed/>
    <w:rsid w:val="00974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955</Words>
  <Characters>5450</Characters>
  <Application>Microsoft Office Word</Application>
  <DocSecurity>0</DocSecurity>
  <Lines>45</Lines>
  <Paragraphs>12</Paragraphs>
  <ScaleCrop>false</ScaleCrop>
  <Company/>
  <LinksUpToDate>false</LinksUpToDate>
  <CharactersWithSpaces>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Radu Dragomir</dc:creator>
  <cp:keywords/>
  <dc:description/>
  <cp:lastModifiedBy>Radu Dragomir</cp:lastModifiedBy>
  <cp:revision>5</cp:revision>
  <cp:lastPrinted>2026-06-13T18:05:00Z</cp:lastPrinted>
  <dcterms:created xsi:type="dcterms:W3CDTF">2026-06-13T18:00:00Z</dcterms:created>
  <dcterms:modified xsi:type="dcterms:W3CDTF">2026-06-13T18:06:00Z</dcterms:modified>
</cp:coreProperties>
</file>