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CF28" w14:textId="4AE4F86C" w:rsidR="00C45E0A" w:rsidRPr="00C45E0A" w:rsidRDefault="00C45E0A" w:rsidP="00C45E0A">
      <w:pPr>
        <w:ind w:left="720" w:hanging="360"/>
        <w:jc w:val="center"/>
        <w:rPr>
          <w:rFonts w:asciiTheme="majorBidi" w:hAnsiTheme="majorBidi" w:cstheme="majorBidi"/>
        </w:rPr>
      </w:pPr>
      <w:r w:rsidRPr="00C45E0A">
        <w:rPr>
          <w:rFonts w:asciiTheme="majorBidi" w:hAnsiTheme="majorBidi" w:cstheme="majorBidi"/>
        </w:rPr>
        <w:t xml:space="preserve">Lista de </w:t>
      </w:r>
      <w:proofErr w:type="spellStart"/>
      <w:r w:rsidRPr="00C45E0A">
        <w:rPr>
          <w:rFonts w:asciiTheme="majorBidi" w:hAnsiTheme="majorBidi" w:cstheme="majorBidi"/>
        </w:rPr>
        <w:t>lucrări</w:t>
      </w:r>
      <w:proofErr w:type="spellEnd"/>
    </w:p>
    <w:p w14:paraId="5886DE92" w14:textId="77777777" w:rsidR="00C45E0A" w:rsidRPr="00C45E0A" w:rsidRDefault="00C45E0A" w:rsidP="00C45E0A">
      <w:pPr>
        <w:pStyle w:val="ListParagraph"/>
        <w:rPr>
          <w:rFonts w:asciiTheme="majorBidi" w:hAnsiTheme="majorBidi" w:cstheme="majorBidi"/>
          <w:lang w:val="ro-RO"/>
        </w:rPr>
      </w:pPr>
    </w:p>
    <w:p w14:paraId="2BBE389E" w14:textId="5A7513D6" w:rsidR="00C45E0A" w:rsidRPr="00C45E0A" w:rsidRDefault="00104F35" w:rsidP="00C45E0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ro-RO"/>
        </w:rPr>
      </w:pPr>
      <w:r w:rsidRPr="00C45E0A">
        <w:rPr>
          <w:rFonts w:asciiTheme="majorBidi" w:hAnsiTheme="majorBidi" w:cstheme="majorBidi"/>
          <w:lang w:val="ro-RO"/>
        </w:rPr>
        <w:t>Targeting Anti-Apoptotic Bcl-2 Proteins with Triterpene-Heterocyclic Derivatives: A Combined Dual Docking and Molecular Dynamics Study (</w:t>
      </w:r>
      <w:r w:rsidRPr="00C45E0A">
        <w:rPr>
          <w:rFonts w:asciiTheme="majorBidi" w:hAnsiTheme="majorBidi" w:cstheme="majorBidi"/>
          <w:i/>
          <w:lang w:val="ro-RO"/>
        </w:rPr>
        <w:t>DOI: 10.3390/molecules30193919</w:t>
      </w:r>
      <w:r w:rsidRPr="00C45E0A">
        <w:rPr>
          <w:rFonts w:asciiTheme="majorBidi" w:hAnsiTheme="majorBidi" w:cstheme="majorBidi"/>
          <w:lang w:val="ro-RO"/>
        </w:rPr>
        <w:t>)</w:t>
      </w:r>
    </w:p>
    <w:p w14:paraId="3163E1B8" w14:textId="77777777" w:rsidR="00104F35" w:rsidRPr="00C45E0A" w:rsidRDefault="00104F35" w:rsidP="00104F3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ro-RO"/>
        </w:rPr>
      </w:pPr>
      <w:r w:rsidRPr="00C45E0A">
        <w:rPr>
          <w:rFonts w:asciiTheme="majorBidi" w:hAnsiTheme="majorBidi" w:cstheme="majorBidi"/>
          <w:lang w:val="ro-RO"/>
        </w:rPr>
        <w:t>Novel Compounds Featuring a Thiophene Carboxamide Scaffold: Synthesis, Characterization and Antiproliferative Evaluation (</w:t>
      </w:r>
      <w:r w:rsidRPr="00C45E0A">
        <w:rPr>
          <w:rFonts w:asciiTheme="majorBidi" w:hAnsiTheme="majorBidi" w:cstheme="majorBidi"/>
          <w:i/>
          <w:lang w:val="ro-RO"/>
        </w:rPr>
        <w:t>DOI: 10.3390/ijms26146823</w:t>
      </w:r>
      <w:r w:rsidRPr="00C45E0A">
        <w:rPr>
          <w:rFonts w:asciiTheme="majorBidi" w:hAnsiTheme="majorBidi" w:cstheme="majorBidi"/>
          <w:lang w:val="ro-RO"/>
        </w:rPr>
        <w:t>)</w:t>
      </w:r>
    </w:p>
    <w:p w14:paraId="5FD726D5" w14:textId="77777777" w:rsidR="00104F35" w:rsidRPr="00C45E0A" w:rsidRDefault="00104F35" w:rsidP="00104F3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ro-RO"/>
        </w:rPr>
      </w:pPr>
      <w:r w:rsidRPr="00C45E0A">
        <w:rPr>
          <w:rFonts w:asciiTheme="majorBidi" w:hAnsiTheme="majorBidi" w:cstheme="majorBidi"/>
          <w:lang w:val="ro-RO"/>
        </w:rPr>
        <w:t>Cytotoxic Potential of Betulinic Acid Fatty Esters and Their Liposomal Formulations: Targeting Breast, Colon, and Lung Cancer Cell Lines (</w:t>
      </w:r>
      <w:r w:rsidRPr="00C45E0A">
        <w:rPr>
          <w:rFonts w:asciiTheme="majorBidi" w:hAnsiTheme="majorBidi" w:cstheme="majorBidi"/>
          <w:i/>
          <w:lang w:val="ro-RO"/>
        </w:rPr>
        <w:t>DOI: 10.3390/molecules29143399</w:t>
      </w:r>
      <w:r w:rsidRPr="00C45E0A">
        <w:rPr>
          <w:rFonts w:asciiTheme="majorBidi" w:hAnsiTheme="majorBidi" w:cstheme="majorBidi"/>
          <w:lang w:val="ro-RO"/>
        </w:rPr>
        <w:t>)</w:t>
      </w:r>
    </w:p>
    <w:p w14:paraId="5BF9B529" w14:textId="77777777" w:rsidR="00104F35" w:rsidRPr="00C45E0A" w:rsidRDefault="00104F35">
      <w:pPr>
        <w:rPr>
          <w:rFonts w:asciiTheme="majorBidi" w:hAnsiTheme="majorBidi" w:cstheme="majorBidi"/>
          <w:lang w:val="ro-RO"/>
        </w:rPr>
      </w:pPr>
    </w:p>
    <w:sectPr w:rsidR="00104F35" w:rsidRPr="00C4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B59EB"/>
    <w:multiLevelType w:val="hybridMultilevel"/>
    <w:tmpl w:val="7F44D354"/>
    <w:lvl w:ilvl="0" w:tplc="F4F635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6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B3"/>
    <w:rsid w:val="00104F35"/>
    <w:rsid w:val="002C4AB3"/>
    <w:rsid w:val="009F52E8"/>
    <w:rsid w:val="00C45E0A"/>
    <w:rsid w:val="00D1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2193"/>
  <w15:chartTrackingRefBased/>
  <w15:docId w15:val="{D0C1DBA5-481B-4C41-96FD-B4F50E45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2026-05-26T09:03:00Z</dcterms:created>
  <dcterms:modified xsi:type="dcterms:W3CDTF">2026-06-02T06:40:00Z</dcterms:modified>
</cp:coreProperties>
</file>